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06E" w:rsidRPr="007C406E" w:rsidRDefault="007C406E" w:rsidP="00EC6A5A">
      <w:pPr>
        <w:spacing w:after="0"/>
        <w:jc w:val="center"/>
        <w:rPr>
          <w:b/>
        </w:rPr>
      </w:pPr>
      <w:r w:rsidRPr="007C406E">
        <w:rPr>
          <w:b/>
        </w:rPr>
        <w:t>ESTADO DO PARANÁ</w:t>
      </w:r>
    </w:p>
    <w:p w:rsidR="007C406E" w:rsidRPr="007C406E" w:rsidRDefault="007C406E" w:rsidP="00EC6A5A">
      <w:pPr>
        <w:spacing w:after="0"/>
        <w:jc w:val="center"/>
        <w:rPr>
          <w:b/>
        </w:rPr>
      </w:pPr>
      <w:r w:rsidRPr="007C406E">
        <w:rPr>
          <w:b/>
        </w:rPr>
        <w:t>SECRETARIA DE ESTADO DO DESENVOLVIMENTO SUSTENTÁVEL E DO TURISMO</w:t>
      </w:r>
    </w:p>
    <w:p w:rsidR="007C406E" w:rsidRDefault="007C406E" w:rsidP="00EC6A5A">
      <w:pPr>
        <w:spacing w:after="0"/>
        <w:jc w:val="center"/>
      </w:pPr>
    </w:p>
    <w:p w:rsidR="00FC0A4F" w:rsidRDefault="007C406E" w:rsidP="00EC6A5A">
      <w:pPr>
        <w:spacing w:after="0"/>
        <w:jc w:val="center"/>
      </w:pPr>
      <w:r>
        <w:t>NOTA TÉCNICA Nº XX/2019</w:t>
      </w:r>
    </w:p>
    <w:p w:rsidR="007C406E" w:rsidRDefault="007C406E" w:rsidP="00EC6A5A">
      <w:pPr>
        <w:spacing w:after="0"/>
        <w:jc w:val="center"/>
      </w:pPr>
    </w:p>
    <w:p w:rsidR="007C406E" w:rsidRDefault="007C406E" w:rsidP="00EC6A5A">
      <w:pPr>
        <w:spacing w:after="0"/>
        <w:jc w:val="both"/>
      </w:pPr>
      <w:r w:rsidRPr="007C406E">
        <w:rPr>
          <w:b/>
        </w:rPr>
        <w:t>Referência</w:t>
      </w:r>
      <w:r>
        <w:t>: Convênio nº01/2013 (SICONV 793036/2013) entre o Ministério do Meio Ambiente e Recursos Hídricos e a Secretaria de Estado do Desenvolvimento Sustentável e do Turismo do Paraná (à época Secretaria de Estado do Meio Ambiente e Recursos Hídricos).</w:t>
      </w:r>
    </w:p>
    <w:p w:rsidR="007C406E" w:rsidRDefault="007C406E" w:rsidP="00EC6A5A">
      <w:pPr>
        <w:spacing w:after="0"/>
        <w:jc w:val="both"/>
      </w:pPr>
      <w:r w:rsidRPr="007C406E">
        <w:rPr>
          <w:b/>
        </w:rPr>
        <w:t>Assunto</w:t>
      </w:r>
      <w:r>
        <w:t>: Execução do Convênio nº 793036</w:t>
      </w:r>
      <w:r w:rsidRPr="007C406E">
        <w:t>/201</w:t>
      </w:r>
      <w:r>
        <w:t>3</w:t>
      </w:r>
      <w:r w:rsidRPr="007C406E">
        <w:t xml:space="preserve"> –</w:t>
      </w:r>
      <w:r w:rsidRPr="007C406E">
        <w:rPr>
          <w:bCs/>
        </w:rPr>
        <w:t xml:space="preserve"> Projeto de Fortalecimento da Comissão Estadual do P2R2 do Paraná – Ação Integrada na Prevenção, Preparação e Resposta Rápida a Emergências com Produtos Químicos Perigosos</w:t>
      </w:r>
      <w:r>
        <w:t xml:space="preserve"> – Relatório Técnico. </w:t>
      </w:r>
    </w:p>
    <w:p w:rsidR="007C406E" w:rsidRDefault="007C406E" w:rsidP="00EC6A5A">
      <w:pPr>
        <w:spacing w:after="0"/>
        <w:jc w:val="both"/>
      </w:pPr>
      <w:r w:rsidRPr="007C406E">
        <w:rPr>
          <w:b/>
        </w:rPr>
        <w:t>Período</w:t>
      </w:r>
      <w:r w:rsidRPr="007C406E">
        <w:t xml:space="preserve">: </w:t>
      </w:r>
      <w:r>
        <w:t>31/12/2013 a 03/06/2019.</w:t>
      </w:r>
    </w:p>
    <w:p w:rsidR="007C406E" w:rsidRDefault="007C406E" w:rsidP="00EC6A5A">
      <w:pPr>
        <w:spacing w:after="0"/>
        <w:jc w:val="both"/>
      </w:pPr>
    </w:p>
    <w:p w:rsidR="0073791E" w:rsidRDefault="007C406E" w:rsidP="00EC6A5A">
      <w:pPr>
        <w:spacing w:after="0"/>
        <w:jc w:val="both"/>
      </w:pPr>
      <w:r w:rsidRPr="007C406E">
        <w:rPr>
          <w:b/>
        </w:rPr>
        <w:t>RESUMO</w:t>
      </w:r>
      <w:r>
        <w:t xml:space="preserve">: </w:t>
      </w:r>
    </w:p>
    <w:p w:rsidR="0073791E" w:rsidRDefault="0073791E" w:rsidP="0073791E">
      <w:pPr>
        <w:spacing w:after="0"/>
        <w:ind w:firstLine="567"/>
        <w:jc w:val="both"/>
      </w:pPr>
    </w:p>
    <w:p w:rsidR="007C406E" w:rsidRDefault="007C406E" w:rsidP="0073791E">
      <w:pPr>
        <w:spacing w:after="0"/>
        <w:ind w:firstLine="567"/>
        <w:jc w:val="both"/>
      </w:pPr>
      <w:r>
        <w:t xml:space="preserve">Trata-se do Convênio nº 703036/2013 firmado entre o Ministério do Meio Ambiente e Recursos Hídricos e a Secretaria de Estado do Desenvolvimento Sustentável e do Turismo do Paraná (à época Secretaria de Estado do Meio Ambiente e Recursos Hídricos), em 31 de dezembro de 2013, com o objetivo de “Fortalecimento da Comissão Estadual do P2R2 no Paraná e desenvolvimento de ação integrada na prevenção, preparação e resposta rápida às </w:t>
      </w:r>
      <w:proofErr w:type="gramStart"/>
      <w:r>
        <w:t>emergências</w:t>
      </w:r>
      <w:proofErr w:type="gramEnd"/>
      <w:r>
        <w:t xml:space="preserve"> ambientais com produtos perigosos”. O valor global do convênio é de R$ 2.413.507,10 (dois milhões quatrocentos e treze mil quinhentos e sete reais e dez centavos) e o prazo de vigência até 16 de julho de 2019. O presente Relatório Técnico apresenta a evolução das atividades desenvolvidas no âmbito do Termo de Convênio supracitado entre dezembro de 2013 e junho de 2019, e elenca as atividades desenvolvidas pela Comissão Estadual de Prevenção, Preparação e Resposta Rápida a Emergências Ambientais com Produtos Perigosos – CEP2R2-PR. Além disso, solicita a prorrogação do prazo do Conv</w:t>
      </w:r>
      <w:r w:rsidR="009F402B">
        <w:t xml:space="preserve">ênio por um período de 24 meses, visando dar continuidade às atividades previstas no </w:t>
      </w:r>
      <w:r>
        <w:t>Plano de Trabalho.</w:t>
      </w:r>
    </w:p>
    <w:p w:rsidR="009F402B" w:rsidRDefault="009F402B" w:rsidP="00EC6A5A">
      <w:pPr>
        <w:spacing w:after="0"/>
        <w:jc w:val="both"/>
      </w:pPr>
    </w:p>
    <w:p w:rsidR="009F402B" w:rsidRDefault="009F402B" w:rsidP="00EC6A5A">
      <w:pPr>
        <w:spacing w:after="0"/>
        <w:jc w:val="both"/>
      </w:pPr>
      <w:r w:rsidRPr="009F402B">
        <w:rPr>
          <w:b/>
        </w:rPr>
        <w:t>INTRODUÇÃO</w:t>
      </w:r>
      <w:r>
        <w:t xml:space="preserve">: </w:t>
      </w:r>
    </w:p>
    <w:p w:rsidR="009F402B" w:rsidRDefault="009F402B" w:rsidP="00EC6A5A">
      <w:pPr>
        <w:spacing w:after="0"/>
        <w:jc w:val="both"/>
      </w:pPr>
    </w:p>
    <w:p w:rsidR="009F402B" w:rsidRDefault="009F402B" w:rsidP="0073791E">
      <w:pPr>
        <w:spacing w:after="0"/>
        <w:ind w:firstLine="567"/>
        <w:jc w:val="both"/>
      </w:pPr>
      <w:r>
        <w:t>Em 31 de dezembro de 2013 foi assinado o Termo de Convênio nº 793036/2013, publicado no Diário Oficial da União – DOU em 17 de janeiro de 2014, com objetivo de fortalecer a Comissão Estadua</w:t>
      </w:r>
      <w:r w:rsidR="0073791E">
        <w:t xml:space="preserve">l P2R2 no Paraná e desenvolver uma ação integrada para </w:t>
      </w:r>
      <w:r>
        <w:t xml:space="preserve">a prevenção, preparação e resposta rápida às emergências ambientais com produtos perigosos. </w:t>
      </w:r>
    </w:p>
    <w:p w:rsidR="0073791E" w:rsidRDefault="009F402B" w:rsidP="0073791E">
      <w:pPr>
        <w:spacing w:after="0"/>
        <w:ind w:firstLine="567"/>
        <w:jc w:val="both"/>
      </w:pPr>
      <w:r>
        <w:t>Atualmente, a gestão deste convênio encontra-se na Secretaria de Recursos Hídricos e Qualidade Ambiental. Os recursos financeiros são de 2.413.507,10 (dois milhões quatrocentos e treze mil quinhent</w:t>
      </w:r>
      <w:r w:rsidR="0073791E">
        <w:t xml:space="preserve">os e sete reais e dez centavos), </w:t>
      </w:r>
      <w:r>
        <w:t>dos quais R</w:t>
      </w:r>
      <w:proofErr w:type="gramStart"/>
      <w:r>
        <w:t xml:space="preserve">$ </w:t>
      </w:r>
      <w:r w:rsidRPr="009F402B">
        <w:t xml:space="preserve"> 1.930.805</w:t>
      </w:r>
      <w:proofErr w:type="gramEnd"/>
      <w:r w:rsidRPr="009F402B">
        <w:t xml:space="preserve">,68 </w:t>
      </w:r>
      <w:r>
        <w:t xml:space="preserve">(um milhão novecentos e trinta mil oitocentos e cinco reais e sessenta </w:t>
      </w:r>
      <w:r w:rsidR="00733882">
        <w:t>e oito centavos) são oriundos do</w:t>
      </w:r>
      <w:r>
        <w:t xml:space="preserve"> </w:t>
      </w:r>
      <w:r w:rsidRPr="00733882">
        <w:t>MMA</w:t>
      </w:r>
      <w:r>
        <w:t xml:space="preserve"> e </w:t>
      </w:r>
      <w:r w:rsidR="00D24FEF" w:rsidRPr="00D24FEF">
        <w:t>R$ 482.701,42</w:t>
      </w:r>
      <w:r w:rsidR="00D24FEF">
        <w:t xml:space="preserve"> (quatrocentos e oitenta e dois mil setecentos e um reais e quarenta e dois centavos) são oriundos da SEDEST/PR. </w:t>
      </w:r>
    </w:p>
    <w:p w:rsidR="00733882" w:rsidRDefault="00D24FEF" w:rsidP="0073791E">
      <w:pPr>
        <w:spacing w:after="0"/>
        <w:ind w:firstLine="567"/>
        <w:jc w:val="both"/>
      </w:pPr>
      <w:r>
        <w:t>O</w:t>
      </w:r>
      <w:r w:rsidR="009F402B">
        <w:t xml:space="preserve"> instrumento foi celebrado com vigência de </w:t>
      </w:r>
      <w:r>
        <w:t>31</w:t>
      </w:r>
      <w:r w:rsidR="009F402B">
        <w:t xml:space="preserve"> meses a contar da data de sua assinatura em </w:t>
      </w:r>
      <w:r>
        <w:t>31</w:t>
      </w:r>
      <w:r w:rsidR="009F402B">
        <w:t>/12/201</w:t>
      </w:r>
      <w:r>
        <w:t xml:space="preserve">3, </w:t>
      </w:r>
      <w:r w:rsidR="009F402B">
        <w:t xml:space="preserve">com encerramento em </w:t>
      </w:r>
      <w:r>
        <w:t>31</w:t>
      </w:r>
      <w:r w:rsidR="009F402B">
        <w:t>/07/201</w:t>
      </w:r>
      <w:r>
        <w:t>6</w:t>
      </w:r>
      <w:r w:rsidR="009F402B">
        <w:t xml:space="preserve">. </w:t>
      </w:r>
      <w:r>
        <w:t xml:space="preserve">Não obstante, </w:t>
      </w:r>
      <w:r w:rsidR="009F402B">
        <w:t>em virtude do atraso ocorrido na liberação dos recursos financeiros referentes à primeira par</w:t>
      </w:r>
      <w:r>
        <w:t xml:space="preserve">cela, houve a </w:t>
      </w:r>
      <w:r>
        <w:lastRenderedPageBreak/>
        <w:t>necessidade de prorrogação do convênio, aprovado por um ano conforme Ofício nº 143/2016-</w:t>
      </w:r>
      <w:r w:rsidR="009F402B">
        <w:t>GAB</w:t>
      </w:r>
      <w:r>
        <w:t>/SMCQ</w:t>
      </w:r>
      <w:r w:rsidR="009F402B">
        <w:t xml:space="preserve">. Houve </w:t>
      </w:r>
      <w:r w:rsidR="00733882">
        <w:t xml:space="preserve">necessidade de </w:t>
      </w:r>
      <w:r w:rsidR="009F402B">
        <w:t>uma nova prorrogação</w:t>
      </w:r>
      <w:r w:rsidR="00733882">
        <w:t xml:space="preserve"> devido às modificações de preço ocasionadas pela latência do convênio, havendo a necessidade de readequar orçamentos e ajustar o Plano de Trabalho. A nova prorrogação foi autorizada, determinando a data de vigência </w:t>
      </w:r>
      <w:r w:rsidR="0073791E">
        <w:t>atual de</w:t>
      </w:r>
      <w:r w:rsidR="00733882">
        <w:t xml:space="preserve"> 16 de julho de </w:t>
      </w:r>
      <w:r w:rsidR="009F402B">
        <w:t>201</w:t>
      </w:r>
      <w:r w:rsidR="00733882">
        <w:t>9</w:t>
      </w:r>
      <w:r w:rsidR="009F402B">
        <w:t>, de acordo com o Ofício nº 5</w:t>
      </w:r>
      <w:r w:rsidR="00733882">
        <w:t>0467</w:t>
      </w:r>
      <w:r w:rsidR="009F402B">
        <w:t>/201</w:t>
      </w:r>
      <w:r w:rsidR="00733882">
        <w:t>7</w:t>
      </w:r>
      <w:r w:rsidR="009F402B">
        <w:t xml:space="preserve">-MMA. </w:t>
      </w:r>
    </w:p>
    <w:p w:rsidR="009F402B" w:rsidRDefault="009F402B" w:rsidP="0073791E">
      <w:pPr>
        <w:spacing w:after="0"/>
        <w:ind w:firstLine="567"/>
        <w:jc w:val="both"/>
      </w:pPr>
      <w:r>
        <w:t xml:space="preserve">A partir da assinatura do Termo de Convênio, a </w:t>
      </w:r>
      <w:r w:rsidR="00733882">
        <w:t>SEDEST (à época SEMA), com apoio da CEP2R2, realizou reuniões para o desenvolvimento dos objetivos previstos no convênio:</w:t>
      </w:r>
    </w:p>
    <w:p w:rsidR="00733882" w:rsidRDefault="00733882" w:rsidP="00EC6A5A">
      <w:pPr>
        <w:pStyle w:val="PargrafodaLista"/>
        <w:numPr>
          <w:ilvl w:val="0"/>
          <w:numId w:val="1"/>
        </w:numPr>
        <w:spacing w:after="0"/>
        <w:ind w:left="426"/>
        <w:jc w:val="both"/>
      </w:pPr>
      <w:r w:rsidRPr="005A6EBD">
        <w:t>Reunião para apresentação do Convênio</w:t>
      </w:r>
      <w:r w:rsidR="005A6EBD" w:rsidRPr="005A6EBD">
        <w:t xml:space="preserve"> aprovado à </w:t>
      </w:r>
      <w:r w:rsidRPr="005A6EBD">
        <w:t>CEP2R2, indicando as demandas necessárias</w:t>
      </w:r>
      <w:r w:rsidR="0073791E" w:rsidRPr="005A6EBD">
        <w:t xml:space="preserve">, em </w:t>
      </w:r>
      <w:r w:rsidR="005A6EBD" w:rsidRPr="005A6EBD">
        <w:t>05</w:t>
      </w:r>
      <w:r w:rsidR="0073791E" w:rsidRPr="005A6EBD">
        <w:t xml:space="preserve"> de </w:t>
      </w:r>
      <w:r w:rsidR="005A6EBD" w:rsidRPr="005A6EBD">
        <w:t xml:space="preserve">abril </w:t>
      </w:r>
      <w:r w:rsidR="0073791E" w:rsidRPr="005A6EBD">
        <w:t xml:space="preserve">de </w:t>
      </w:r>
      <w:r w:rsidR="005A6EBD" w:rsidRPr="005A6EBD">
        <w:t>2014</w:t>
      </w:r>
      <w:r>
        <w:t>;</w:t>
      </w:r>
    </w:p>
    <w:p w:rsidR="00733882" w:rsidRDefault="00733882" w:rsidP="00EC6A5A">
      <w:pPr>
        <w:pStyle w:val="PargrafodaLista"/>
        <w:numPr>
          <w:ilvl w:val="0"/>
          <w:numId w:val="1"/>
        </w:numPr>
        <w:spacing w:after="0"/>
        <w:ind w:left="426"/>
        <w:jc w:val="both"/>
      </w:pPr>
      <w:r w:rsidRPr="005A6EBD">
        <w:t>Reunião com Corpo de Bombeiros para indicação de mananciais críticos que poderiam ser afetados por desastres com produtos perigosos e indicação dos locais para estoque dos equipamentos de atendimento</w:t>
      </w:r>
      <w:r w:rsidR="0073791E" w:rsidRPr="005A6EBD">
        <w:t xml:space="preserve">, em </w:t>
      </w:r>
      <w:r w:rsidR="005A6EBD" w:rsidRPr="005A6EBD">
        <w:t>13</w:t>
      </w:r>
      <w:r w:rsidR="0073791E" w:rsidRPr="005A6EBD">
        <w:t xml:space="preserve"> de </w:t>
      </w:r>
      <w:r w:rsidR="005A6EBD" w:rsidRPr="005A6EBD">
        <w:t>fevereiro</w:t>
      </w:r>
      <w:r w:rsidR="0073791E" w:rsidRPr="005A6EBD">
        <w:t xml:space="preserve"> de </w:t>
      </w:r>
      <w:r w:rsidR="005A6EBD" w:rsidRPr="005A6EBD">
        <w:t>2014</w:t>
      </w:r>
      <w:r w:rsidRPr="005A6EBD">
        <w:t>;</w:t>
      </w:r>
    </w:p>
    <w:p w:rsidR="000A16E1" w:rsidRPr="005A6EBD" w:rsidRDefault="000A16E1" w:rsidP="00EC6A5A">
      <w:pPr>
        <w:pStyle w:val="PargrafodaLista"/>
        <w:numPr>
          <w:ilvl w:val="0"/>
          <w:numId w:val="1"/>
        </w:numPr>
        <w:spacing w:after="0"/>
        <w:ind w:left="426"/>
        <w:jc w:val="both"/>
      </w:pPr>
      <w:r>
        <w:t xml:space="preserve">Solicitação de prorrogação do convênio em virtude da latência para a </w:t>
      </w:r>
    </w:p>
    <w:p w:rsidR="000C08D4" w:rsidRDefault="000C08D4" w:rsidP="00EC6A5A">
      <w:pPr>
        <w:pStyle w:val="PargrafodaLista"/>
        <w:numPr>
          <w:ilvl w:val="0"/>
          <w:numId w:val="1"/>
        </w:numPr>
        <w:spacing w:after="0"/>
        <w:ind w:left="426"/>
        <w:jc w:val="both"/>
      </w:pPr>
      <w:r>
        <w:t>Liberação dos recursos de contrapartida referentes à primeira etapa do convênio</w:t>
      </w:r>
      <w:r w:rsidR="0073791E" w:rsidRPr="0073791E">
        <w:rPr>
          <w:color w:val="FF0000"/>
        </w:rPr>
        <w:t xml:space="preserve">, em </w:t>
      </w:r>
      <w:proofErr w:type="spellStart"/>
      <w:r w:rsidR="0073791E" w:rsidRPr="0073791E">
        <w:rPr>
          <w:color w:val="FF0000"/>
        </w:rPr>
        <w:t>xx</w:t>
      </w:r>
      <w:proofErr w:type="spellEnd"/>
      <w:r w:rsidR="0073791E" w:rsidRPr="0073791E">
        <w:rPr>
          <w:color w:val="FF0000"/>
        </w:rPr>
        <w:t xml:space="preserve"> de </w:t>
      </w:r>
      <w:r w:rsidR="004E4A36">
        <w:rPr>
          <w:color w:val="FF0000"/>
        </w:rPr>
        <w:t xml:space="preserve">dezembro </w:t>
      </w:r>
      <w:r w:rsidR="0073791E" w:rsidRPr="0073791E">
        <w:rPr>
          <w:color w:val="FF0000"/>
        </w:rPr>
        <w:t xml:space="preserve">de </w:t>
      </w:r>
      <w:r w:rsidR="004E4A36">
        <w:rPr>
          <w:color w:val="FF0000"/>
        </w:rPr>
        <w:t>2016</w:t>
      </w:r>
      <w:r>
        <w:t>;</w:t>
      </w:r>
    </w:p>
    <w:p w:rsidR="004E4A36" w:rsidRDefault="004E4A36" w:rsidP="00EC6A5A">
      <w:pPr>
        <w:pStyle w:val="PargrafodaLista"/>
        <w:numPr>
          <w:ilvl w:val="0"/>
          <w:numId w:val="1"/>
        </w:numPr>
        <w:spacing w:after="0"/>
        <w:ind w:left="426"/>
        <w:jc w:val="both"/>
      </w:pPr>
      <w:r>
        <w:t xml:space="preserve">Liberação dos recursos da primeira etapa por </w:t>
      </w:r>
      <w:bookmarkStart w:id="0" w:name="_GoBack"/>
      <w:r>
        <w:t xml:space="preserve">parte do MMA, em </w:t>
      </w:r>
      <w:proofErr w:type="spellStart"/>
      <w:r w:rsidRPr="0073791E">
        <w:rPr>
          <w:color w:val="FF0000"/>
        </w:rPr>
        <w:t>xx</w:t>
      </w:r>
      <w:proofErr w:type="spellEnd"/>
      <w:r w:rsidRPr="0073791E">
        <w:rPr>
          <w:color w:val="FF0000"/>
        </w:rPr>
        <w:t xml:space="preserve"> de </w:t>
      </w:r>
      <w:r w:rsidR="00EC2249">
        <w:rPr>
          <w:color w:val="FF0000"/>
        </w:rPr>
        <w:t>dezembro</w:t>
      </w:r>
      <w:r w:rsidRPr="0073791E">
        <w:rPr>
          <w:color w:val="FF0000"/>
        </w:rPr>
        <w:t xml:space="preserve"> de </w:t>
      </w:r>
      <w:r w:rsidR="00EC2249">
        <w:rPr>
          <w:color w:val="FF0000"/>
        </w:rPr>
        <w:t>2017;</w:t>
      </w:r>
    </w:p>
    <w:bookmarkEnd w:id="0"/>
    <w:p w:rsidR="000C08D4" w:rsidRPr="0003698E" w:rsidRDefault="004E4A36" w:rsidP="00EC6A5A">
      <w:pPr>
        <w:pStyle w:val="PargrafodaLista"/>
        <w:numPr>
          <w:ilvl w:val="0"/>
          <w:numId w:val="1"/>
        </w:numPr>
        <w:spacing w:after="0"/>
        <w:ind w:left="426"/>
        <w:jc w:val="both"/>
      </w:pPr>
      <w:r>
        <w:t xml:space="preserve">Realização de novos </w:t>
      </w:r>
      <w:r w:rsidR="000C08D4">
        <w:t xml:space="preserve">orçamentos para o prosseguimento da etapa, com constatação de alta exponencial no valor dos equipamentos a serem </w:t>
      </w:r>
      <w:r w:rsidR="000C08D4" w:rsidRPr="00757E0D">
        <w:t>adquiridos</w:t>
      </w:r>
      <w:r w:rsidR="0073791E" w:rsidRPr="00757E0D">
        <w:t xml:space="preserve">, </w:t>
      </w:r>
      <w:r w:rsidR="00757E0D" w:rsidRPr="00757E0D">
        <w:t>a partir de novembro de 2016</w:t>
      </w:r>
      <w:r w:rsidR="00757E0D">
        <w:t xml:space="preserve">, tendo resposta de alta nos preços dos </w:t>
      </w:r>
      <w:r w:rsidR="00757E0D" w:rsidRPr="0003698E">
        <w:t>equipamentos</w:t>
      </w:r>
      <w:r w:rsidR="000C08D4" w:rsidRPr="0003698E">
        <w:t>;</w:t>
      </w:r>
    </w:p>
    <w:p w:rsidR="000C08D4" w:rsidRPr="0003698E" w:rsidRDefault="000C08D4" w:rsidP="00EC6A5A">
      <w:pPr>
        <w:pStyle w:val="PargrafodaLista"/>
        <w:numPr>
          <w:ilvl w:val="0"/>
          <w:numId w:val="1"/>
        </w:numPr>
        <w:spacing w:after="0"/>
        <w:ind w:left="426"/>
        <w:jc w:val="both"/>
      </w:pPr>
      <w:r w:rsidRPr="0003698E">
        <w:t>Contatos com MMA/SMCQ para indicação das medidas a serem adotadas para a aquisição dos equipamentos, seguindo os trâmites legais</w:t>
      </w:r>
      <w:r w:rsidR="00757E0D" w:rsidRPr="0003698E">
        <w:t xml:space="preserve"> para ajuste no Plano de Trabalho, </w:t>
      </w:r>
      <w:r w:rsidR="0003698E" w:rsidRPr="0003698E">
        <w:t>no segundo semestre de 2018</w:t>
      </w:r>
      <w:r w:rsidRPr="0003698E">
        <w:t>;</w:t>
      </w:r>
    </w:p>
    <w:p w:rsidR="000C08D4" w:rsidRDefault="00733882" w:rsidP="00EC6A5A">
      <w:pPr>
        <w:pStyle w:val="PargrafodaLista"/>
        <w:numPr>
          <w:ilvl w:val="0"/>
          <w:numId w:val="1"/>
        </w:numPr>
        <w:spacing w:after="0"/>
        <w:ind w:left="426"/>
        <w:jc w:val="both"/>
      </w:pPr>
      <w:r w:rsidRPr="0003698E">
        <w:t>Reunião em Brasília para acertar ajustes necessários ao</w:t>
      </w:r>
      <w:r w:rsidRPr="00757E0D">
        <w:t xml:space="preserve"> Plano de Trabalho, visando a execução dos recursos previstos na primeira etapa</w:t>
      </w:r>
      <w:r w:rsidR="00D67436" w:rsidRPr="00757E0D">
        <w:t>,</w:t>
      </w:r>
      <w:r w:rsidR="00EC2249" w:rsidRPr="00757E0D">
        <w:t xml:space="preserve"> </w:t>
      </w:r>
      <w:r w:rsidR="00D67436" w:rsidRPr="00757E0D">
        <w:t xml:space="preserve">em </w:t>
      </w:r>
      <w:r w:rsidR="00EC2249" w:rsidRPr="00757E0D">
        <w:t>16</w:t>
      </w:r>
      <w:r w:rsidR="00D67436" w:rsidRPr="00757E0D">
        <w:t xml:space="preserve"> de </w:t>
      </w:r>
      <w:r w:rsidR="00EC2249" w:rsidRPr="00757E0D">
        <w:t xml:space="preserve">outubro </w:t>
      </w:r>
      <w:r w:rsidR="00D67436" w:rsidRPr="00757E0D">
        <w:t xml:space="preserve">de </w:t>
      </w:r>
      <w:r w:rsidR="00EC2249" w:rsidRPr="00757E0D">
        <w:t>2018</w:t>
      </w:r>
      <w:r w:rsidR="00D67436" w:rsidRPr="00757E0D">
        <w:t>,</w:t>
      </w:r>
      <w:r w:rsidR="000C08D4" w:rsidRPr="00757E0D">
        <w:t xml:space="preserve"> </w:t>
      </w:r>
      <w:r w:rsidR="00D67436" w:rsidRPr="00757E0D">
        <w:t xml:space="preserve">- </w:t>
      </w:r>
      <w:r w:rsidR="000C08D4" w:rsidRPr="00757E0D">
        <w:t xml:space="preserve">participantes: </w:t>
      </w:r>
      <w:r w:rsidR="00757E0D" w:rsidRPr="00757E0D">
        <w:t xml:space="preserve">José Luiz </w:t>
      </w:r>
      <w:proofErr w:type="spellStart"/>
      <w:r w:rsidR="00D67436" w:rsidRPr="00757E0D">
        <w:t>Scroccaro</w:t>
      </w:r>
      <w:proofErr w:type="spellEnd"/>
      <w:r w:rsidR="00D67436" w:rsidRPr="00757E0D">
        <w:t xml:space="preserve">, </w:t>
      </w:r>
      <w:r w:rsidR="000C08D4" w:rsidRPr="00757E0D">
        <w:t xml:space="preserve">pela </w:t>
      </w:r>
      <w:r w:rsidR="00D67436" w:rsidRPr="00757E0D">
        <w:t>SEDEST</w:t>
      </w:r>
      <w:r w:rsidR="000C08D4" w:rsidRPr="00757E0D">
        <w:t xml:space="preserve">, e </w:t>
      </w:r>
      <w:r w:rsidR="00757E0D" w:rsidRPr="00757E0D">
        <w:t xml:space="preserve">Mirian de Oliveira, </w:t>
      </w:r>
      <w:r w:rsidR="000C08D4" w:rsidRPr="00757E0D">
        <w:t>pelo MMA</w:t>
      </w:r>
      <w:r w:rsidR="0003698E">
        <w:t>/SMCQ</w:t>
      </w:r>
      <w:r w:rsidR="00D67436" w:rsidRPr="00757E0D">
        <w:t>;</w:t>
      </w:r>
    </w:p>
    <w:p w:rsidR="00757E0D" w:rsidRPr="0003698E" w:rsidRDefault="00757E0D" w:rsidP="00EC6A5A">
      <w:pPr>
        <w:pStyle w:val="PargrafodaLista"/>
        <w:numPr>
          <w:ilvl w:val="0"/>
          <w:numId w:val="1"/>
        </w:numPr>
        <w:spacing w:after="0"/>
        <w:ind w:left="426"/>
        <w:jc w:val="both"/>
      </w:pPr>
      <w:r>
        <w:t>Reunião em Brasília para verificar procedimentos de ajuste no Plano de Trabalho, em 21 de novembro de 2018 – participantes: Capitão Romero Nunes da Silva Filh</w:t>
      </w:r>
      <w:r w:rsidR="0003698E">
        <w:t xml:space="preserve">o, da Defesa </w:t>
      </w:r>
      <w:r w:rsidR="0003698E" w:rsidRPr="0003698E">
        <w:t xml:space="preserve">Civil do Paraná, Mirian de Oliveira, </w:t>
      </w:r>
      <w:r w:rsidR="0003698E" w:rsidRPr="0003698E">
        <w:t>do MMA/SMCQ</w:t>
      </w:r>
      <w:r w:rsidR="0003698E" w:rsidRPr="0003698E">
        <w:t xml:space="preserve">, e </w:t>
      </w:r>
      <w:proofErr w:type="spellStart"/>
      <w:r w:rsidRPr="0003698E">
        <w:t>Thaianne</w:t>
      </w:r>
      <w:proofErr w:type="spellEnd"/>
      <w:r w:rsidRPr="0003698E">
        <w:t xml:space="preserve"> Resende Henriques Fábio, do MMA/SMCQ.</w:t>
      </w:r>
    </w:p>
    <w:p w:rsidR="000C08D4" w:rsidRPr="0003698E" w:rsidRDefault="000C08D4" w:rsidP="00EC6A5A">
      <w:pPr>
        <w:pStyle w:val="PargrafodaLista"/>
        <w:numPr>
          <w:ilvl w:val="0"/>
          <w:numId w:val="1"/>
        </w:numPr>
        <w:spacing w:after="0"/>
        <w:ind w:left="426"/>
        <w:jc w:val="both"/>
      </w:pPr>
      <w:r w:rsidRPr="0003698E">
        <w:t xml:space="preserve">Encaminhamento da Nota Técnica nº </w:t>
      </w:r>
      <w:r w:rsidR="00757E0D" w:rsidRPr="0003698E">
        <w:t>001</w:t>
      </w:r>
      <w:r w:rsidRPr="0003698E">
        <w:t>/2018</w:t>
      </w:r>
      <w:r w:rsidR="00D67436" w:rsidRPr="0003698E">
        <w:t xml:space="preserve">, solicitando a autorização de alteração do Plano de Trabalho, </w:t>
      </w:r>
      <w:r w:rsidR="001A2571" w:rsidRPr="0003698E">
        <w:t>tendo em vista a necessidade de</w:t>
      </w:r>
      <w:r w:rsidR="00D67436" w:rsidRPr="0003698E">
        <w:t xml:space="preserve"> </w:t>
      </w:r>
      <w:r w:rsidR="00757E0D" w:rsidRPr="0003698E">
        <w:t>readequação dos materiais, assim como corrigir inconsistências nas rubricas dos materiais verificadas nos processos de revisão</w:t>
      </w:r>
      <w:r w:rsidR="000A16E1" w:rsidRPr="0003698E">
        <w:t>;</w:t>
      </w:r>
    </w:p>
    <w:p w:rsidR="00733882" w:rsidRDefault="00733882" w:rsidP="006E36D6">
      <w:pPr>
        <w:pStyle w:val="PargrafodaLista"/>
        <w:numPr>
          <w:ilvl w:val="0"/>
          <w:numId w:val="1"/>
        </w:numPr>
        <w:spacing w:after="0"/>
        <w:ind w:left="426"/>
        <w:jc w:val="both"/>
      </w:pPr>
      <w:r w:rsidRPr="0003698E">
        <w:t>Reunião técnica com</w:t>
      </w:r>
      <w:r>
        <w:t xml:space="preserve"> MMA/SM</w:t>
      </w:r>
      <w:r w:rsidR="000C08D4">
        <w:t>C</w:t>
      </w:r>
      <w:r w:rsidR="006E36D6">
        <w:t xml:space="preserve">Q por videoconferência para </w:t>
      </w:r>
      <w:r>
        <w:t xml:space="preserve">ajustes no SICONV, visando a atualização do Plano de Trabalho com base na Nota Técnica nº </w:t>
      </w:r>
      <w:r w:rsidR="00757E0D" w:rsidRPr="00757E0D">
        <w:t>001</w:t>
      </w:r>
      <w:r w:rsidRPr="00757E0D">
        <w:t>/2018</w:t>
      </w:r>
      <w:r w:rsidR="006E36D6" w:rsidRPr="00757E0D">
        <w:t xml:space="preserve">, em </w:t>
      </w:r>
      <w:r w:rsidR="00757E0D" w:rsidRPr="00757E0D">
        <w:t>0</w:t>
      </w:r>
      <w:r w:rsidR="00757E0D">
        <w:t>5</w:t>
      </w:r>
      <w:r w:rsidR="006E36D6" w:rsidRPr="00757E0D">
        <w:t xml:space="preserve"> de </w:t>
      </w:r>
      <w:r w:rsidR="00757E0D" w:rsidRPr="00757E0D">
        <w:t xml:space="preserve">março </w:t>
      </w:r>
      <w:r w:rsidR="006E36D6" w:rsidRPr="00757E0D">
        <w:t xml:space="preserve">de </w:t>
      </w:r>
      <w:r w:rsidR="00757E0D" w:rsidRPr="00757E0D">
        <w:t>2019</w:t>
      </w:r>
      <w:r w:rsidR="000C08D4" w:rsidRPr="00757E0D">
        <w:t>;</w:t>
      </w:r>
    </w:p>
    <w:p w:rsidR="00757E0D" w:rsidRDefault="00757E0D" w:rsidP="006E36D6">
      <w:pPr>
        <w:pStyle w:val="PargrafodaLista"/>
        <w:numPr>
          <w:ilvl w:val="0"/>
          <w:numId w:val="1"/>
        </w:numPr>
        <w:spacing w:after="0"/>
        <w:ind w:left="426"/>
        <w:jc w:val="both"/>
      </w:pPr>
      <w:r>
        <w:t>Ajustes e aprovação do novo Plano de Trabalho, em março de 2019;</w:t>
      </w:r>
    </w:p>
    <w:p w:rsidR="00757E0D" w:rsidRPr="00757E0D" w:rsidRDefault="00757E0D" w:rsidP="006E36D6">
      <w:pPr>
        <w:pStyle w:val="PargrafodaLista"/>
        <w:numPr>
          <w:ilvl w:val="0"/>
          <w:numId w:val="1"/>
        </w:numPr>
        <w:spacing w:after="0"/>
        <w:ind w:left="426"/>
        <w:jc w:val="both"/>
      </w:pPr>
      <w:r>
        <w:t>Início do procedimento para licitação de equipamentos referentes à primeira etapa, em abril de 2019.</w:t>
      </w:r>
    </w:p>
    <w:p w:rsidR="007546A9" w:rsidRDefault="007546A9" w:rsidP="00EC6A5A">
      <w:pPr>
        <w:spacing w:after="0"/>
        <w:jc w:val="both"/>
      </w:pPr>
    </w:p>
    <w:p w:rsidR="007546A9" w:rsidRDefault="007546A9" w:rsidP="00EC6A5A">
      <w:pPr>
        <w:spacing w:after="0"/>
        <w:jc w:val="both"/>
      </w:pPr>
    </w:p>
    <w:p w:rsidR="007546A9" w:rsidRDefault="007546A9" w:rsidP="00EC6A5A">
      <w:pPr>
        <w:spacing w:after="0"/>
        <w:jc w:val="both"/>
      </w:pPr>
      <w:r>
        <w:t>2. EXECUÇÃO FÍSICO-FINANCEIRA</w:t>
      </w:r>
      <w:r w:rsidR="002C6251">
        <w:t>:</w:t>
      </w:r>
      <w:r>
        <w:t xml:space="preserve"> ATIVIDADES DESENVOLVIDAS E JUSTIFICATIVAS</w:t>
      </w:r>
    </w:p>
    <w:p w:rsidR="002C6251" w:rsidRDefault="002C6251" w:rsidP="00EC6A5A">
      <w:pPr>
        <w:spacing w:after="0"/>
        <w:jc w:val="both"/>
        <w:rPr>
          <w:b/>
        </w:rPr>
      </w:pPr>
    </w:p>
    <w:p w:rsidR="002C6251" w:rsidRDefault="00046B86" w:rsidP="006E36D6">
      <w:pPr>
        <w:spacing w:after="0"/>
        <w:ind w:firstLine="567"/>
        <w:jc w:val="both"/>
      </w:pPr>
      <w:r w:rsidRPr="00046B86">
        <w:lastRenderedPageBreak/>
        <w:t>O valor total do convênio é de 2.413.507,10 (dois milhões quatrocentos e treze mil</w:t>
      </w:r>
      <w:r>
        <w:t xml:space="preserve"> quinhentos e sete reais e dez centavos), dos quais R$ </w:t>
      </w:r>
      <w:r w:rsidRPr="009F402B">
        <w:t xml:space="preserve">1.930.805,68 </w:t>
      </w:r>
      <w:r>
        <w:t xml:space="preserve">(um milhão novecentos e trinta mil oitocentos e cinco reais e sessenta e oito centavos) são oriundos do </w:t>
      </w:r>
      <w:r w:rsidRPr="00733882">
        <w:t>MMA</w:t>
      </w:r>
      <w:r>
        <w:t xml:space="preserve"> e </w:t>
      </w:r>
      <w:r w:rsidRPr="00D24FEF">
        <w:t>R$ 482.701,42</w:t>
      </w:r>
      <w:r>
        <w:t xml:space="preserve"> (quatrocentos e oitenta e dois mil setecentos e um reais e quarenta e dois centavos) são oriundos da SEDEST/PR.</w:t>
      </w:r>
    </w:p>
    <w:p w:rsidR="002C6251" w:rsidRDefault="00764238" w:rsidP="006E36D6">
      <w:pPr>
        <w:spacing w:after="0"/>
        <w:ind w:firstLine="567"/>
        <w:jc w:val="both"/>
        <w:rPr>
          <w:rFonts w:cstheme="minorHAnsi"/>
          <w:color w:val="333333"/>
          <w:shd w:val="clear" w:color="auto" w:fill="FFFFFD"/>
        </w:rPr>
      </w:pPr>
      <w:r>
        <w:t xml:space="preserve">Já houve o depósito </w:t>
      </w:r>
      <w:r w:rsidRPr="00764238">
        <w:rPr>
          <w:rFonts w:cstheme="minorHAnsi"/>
        </w:rPr>
        <w:t xml:space="preserve">de </w:t>
      </w:r>
      <w:r w:rsidRPr="00764238">
        <w:rPr>
          <w:rFonts w:cstheme="minorHAnsi"/>
        </w:rPr>
        <w:tab/>
        <w:t xml:space="preserve">R$ 732.907,00 </w:t>
      </w:r>
      <w:r>
        <w:rPr>
          <w:rFonts w:cstheme="minorHAnsi"/>
        </w:rPr>
        <w:t xml:space="preserve">(setecentos e trinta e dois mil novecentos e sete reais) </w:t>
      </w:r>
      <w:r w:rsidRPr="00764238">
        <w:rPr>
          <w:rFonts w:cstheme="minorHAnsi"/>
        </w:rPr>
        <w:t xml:space="preserve">por parte do MMA e de </w:t>
      </w:r>
      <w:r w:rsidRPr="00764238">
        <w:rPr>
          <w:rFonts w:cstheme="minorHAnsi"/>
          <w:color w:val="333333"/>
          <w:shd w:val="clear" w:color="auto" w:fill="FFFFFD"/>
        </w:rPr>
        <w:t xml:space="preserve">R$ 183.250,00 </w:t>
      </w:r>
      <w:r>
        <w:rPr>
          <w:rFonts w:cstheme="minorHAnsi"/>
          <w:color w:val="333333"/>
          <w:shd w:val="clear" w:color="auto" w:fill="FFFFFD"/>
        </w:rPr>
        <w:t xml:space="preserve">(cento e oitenta e três mil duzentos e cinquenta reais) </w:t>
      </w:r>
      <w:r w:rsidRPr="00764238">
        <w:rPr>
          <w:rFonts w:cstheme="minorHAnsi"/>
          <w:color w:val="333333"/>
          <w:shd w:val="clear" w:color="auto" w:fill="FFFFFD"/>
        </w:rPr>
        <w:t xml:space="preserve">de contrapartida da SEDEST/PR, totalizando </w:t>
      </w:r>
      <w:r>
        <w:rPr>
          <w:rFonts w:cstheme="minorHAnsi"/>
          <w:color w:val="333333"/>
          <w:shd w:val="clear" w:color="auto" w:fill="FFFFFD"/>
        </w:rPr>
        <w:t xml:space="preserve">R$ 916.157,00 (novecentos e dezesseis mil cento e cinquenta e sete reais). </w:t>
      </w:r>
    </w:p>
    <w:p w:rsidR="00EC6A5A" w:rsidRDefault="00EC6A5A" w:rsidP="006E36D6">
      <w:pPr>
        <w:spacing w:after="0"/>
        <w:ind w:firstLine="567"/>
        <w:jc w:val="both"/>
        <w:rPr>
          <w:rFonts w:cstheme="minorHAnsi"/>
          <w:color w:val="333333"/>
          <w:shd w:val="clear" w:color="auto" w:fill="FFFFFD"/>
        </w:rPr>
      </w:pPr>
      <w:r>
        <w:rPr>
          <w:rFonts w:cstheme="minorHAnsi"/>
          <w:color w:val="333333"/>
          <w:shd w:val="clear" w:color="auto" w:fill="FFFFFD"/>
        </w:rPr>
        <w:t xml:space="preserve">Considerando as atuais correções, o valor disponível é de R$ </w:t>
      </w:r>
      <w:proofErr w:type="spellStart"/>
      <w:proofErr w:type="gramStart"/>
      <w:r w:rsidRPr="00EC6A5A">
        <w:rPr>
          <w:rFonts w:cstheme="minorHAnsi"/>
          <w:color w:val="FF0000"/>
          <w:shd w:val="clear" w:color="auto" w:fill="FFFFFD"/>
        </w:rPr>
        <w:t>xxxx,xx</w:t>
      </w:r>
      <w:proofErr w:type="spellEnd"/>
      <w:r w:rsidRPr="00EC6A5A">
        <w:rPr>
          <w:rFonts w:cstheme="minorHAnsi"/>
          <w:color w:val="FF0000"/>
          <w:shd w:val="clear" w:color="auto" w:fill="FFFFFD"/>
        </w:rPr>
        <w:t>.</w:t>
      </w:r>
      <w:proofErr w:type="gramEnd"/>
      <w:r>
        <w:rPr>
          <w:rFonts w:cstheme="minorHAnsi"/>
          <w:color w:val="333333"/>
          <w:shd w:val="clear" w:color="auto" w:fill="FFFFFD"/>
        </w:rPr>
        <w:t xml:space="preserve"> </w:t>
      </w:r>
    </w:p>
    <w:p w:rsidR="006E36D6" w:rsidRDefault="006E36D6" w:rsidP="006E36D6">
      <w:pPr>
        <w:spacing w:after="0"/>
        <w:ind w:firstLine="567"/>
        <w:jc w:val="both"/>
        <w:rPr>
          <w:rFonts w:cstheme="minorHAnsi"/>
          <w:color w:val="333333"/>
          <w:shd w:val="clear" w:color="auto" w:fill="FFFFFD"/>
        </w:rPr>
      </w:pPr>
    </w:p>
    <w:p w:rsidR="00EC6A5A" w:rsidRPr="00EC6A5A" w:rsidRDefault="00EC6A5A" w:rsidP="00EC6A5A">
      <w:pPr>
        <w:spacing w:after="0"/>
        <w:jc w:val="center"/>
        <w:rPr>
          <w:rFonts w:cstheme="minorHAnsi"/>
          <w:b/>
          <w:color w:val="333333"/>
          <w:sz w:val="20"/>
          <w:shd w:val="clear" w:color="auto" w:fill="FFFFFD"/>
        </w:rPr>
      </w:pPr>
      <w:r w:rsidRPr="00EC6A5A">
        <w:rPr>
          <w:rFonts w:cstheme="minorHAnsi"/>
          <w:b/>
          <w:color w:val="333333"/>
          <w:sz w:val="20"/>
          <w:shd w:val="clear" w:color="auto" w:fill="FFFFFD"/>
        </w:rPr>
        <w:t>TABELA 1: Recursos disponíveis na conta do convênio em 03/06/2019</w:t>
      </w:r>
    </w:p>
    <w:tbl>
      <w:tblPr>
        <w:tblStyle w:val="Tabelacomgrade"/>
        <w:tblW w:w="0" w:type="auto"/>
        <w:tblLook w:val="04A0" w:firstRow="1" w:lastRow="0" w:firstColumn="1" w:lastColumn="0" w:noHBand="0" w:noVBand="1"/>
      </w:tblPr>
      <w:tblGrid>
        <w:gridCol w:w="2161"/>
        <w:gridCol w:w="2161"/>
        <w:gridCol w:w="2161"/>
        <w:gridCol w:w="2161"/>
      </w:tblGrid>
      <w:tr w:rsidR="00EC6A5A" w:rsidRPr="00EC6A5A" w:rsidTr="00EC6A5A">
        <w:tc>
          <w:tcPr>
            <w:tcW w:w="2161" w:type="dxa"/>
          </w:tcPr>
          <w:p w:rsidR="00EC6A5A" w:rsidRPr="00EC6A5A" w:rsidRDefault="00EC6A5A" w:rsidP="00EC6A5A">
            <w:pPr>
              <w:spacing w:line="276" w:lineRule="auto"/>
              <w:jc w:val="center"/>
              <w:rPr>
                <w:rFonts w:cstheme="minorHAnsi"/>
                <w:b/>
                <w:color w:val="333333"/>
                <w:sz w:val="20"/>
                <w:szCs w:val="20"/>
                <w:shd w:val="clear" w:color="auto" w:fill="FFFFFD"/>
              </w:rPr>
            </w:pPr>
            <w:r w:rsidRPr="00EC6A5A">
              <w:rPr>
                <w:rFonts w:cstheme="minorHAnsi"/>
                <w:b/>
                <w:color w:val="333333"/>
                <w:sz w:val="20"/>
                <w:szCs w:val="20"/>
                <w:shd w:val="clear" w:color="auto" w:fill="FFFFFD"/>
              </w:rPr>
              <w:t>DATA</w:t>
            </w:r>
          </w:p>
        </w:tc>
        <w:tc>
          <w:tcPr>
            <w:tcW w:w="2161" w:type="dxa"/>
          </w:tcPr>
          <w:p w:rsidR="00EC6A5A" w:rsidRPr="00EC6A5A" w:rsidRDefault="00EC6A5A" w:rsidP="00EC6A5A">
            <w:pPr>
              <w:spacing w:line="276" w:lineRule="auto"/>
              <w:jc w:val="center"/>
              <w:rPr>
                <w:rFonts w:cstheme="minorHAnsi"/>
                <w:b/>
                <w:color w:val="333333"/>
                <w:sz w:val="20"/>
                <w:szCs w:val="20"/>
                <w:shd w:val="clear" w:color="auto" w:fill="FFFFFD"/>
              </w:rPr>
            </w:pPr>
            <w:r w:rsidRPr="00EC6A5A">
              <w:rPr>
                <w:rFonts w:cstheme="minorHAnsi"/>
                <w:b/>
                <w:color w:val="333333"/>
                <w:sz w:val="20"/>
                <w:szCs w:val="20"/>
                <w:shd w:val="clear" w:color="auto" w:fill="FFFFFD"/>
              </w:rPr>
              <w:t>CONCEDENTE</w:t>
            </w:r>
          </w:p>
        </w:tc>
        <w:tc>
          <w:tcPr>
            <w:tcW w:w="2161" w:type="dxa"/>
          </w:tcPr>
          <w:p w:rsidR="00EC6A5A" w:rsidRPr="00EC6A5A" w:rsidRDefault="00EC6A5A" w:rsidP="00EC6A5A">
            <w:pPr>
              <w:spacing w:line="276" w:lineRule="auto"/>
              <w:jc w:val="center"/>
              <w:rPr>
                <w:rFonts w:cstheme="minorHAnsi"/>
                <w:b/>
                <w:color w:val="333333"/>
                <w:sz w:val="20"/>
                <w:szCs w:val="20"/>
                <w:shd w:val="clear" w:color="auto" w:fill="FFFFFD"/>
              </w:rPr>
            </w:pPr>
            <w:r w:rsidRPr="00EC6A5A">
              <w:rPr>
                <w:rFonts w:cstheme="minorHAnsi"/>
                <w:b/>
                <w:color w:val="333333"/>
                <w:sz w:val="20"/>
                <w:szCs w:val="20"/>
                <w:shd w:val="clear" w:color="auto" w:fill="FFFFFD"/>
              </w:rPr>
              <w:t>CONVENENTE</w:t>
            </w:r>
          </w:p>
        </w:tc>
        <w:tc>
          <w:tcPr>
            <w:tcW w:w="2161" w:type="dxa"/>
          </w:tcPr>
          <w:p w:rsidR="00EC6A5A" w:rsidRPr="00EC6A5A" w:rsidRDefault="00EC6A5A" w:rsidP="00EC6A5A">
            <w:pPr>
              <w:spacing w:line="276" w:lineRule="auto"/>
              <w:jc w:val="center"/>
              <w:rPr>
                <w:rFonts w:cstheme="minorHAnsi"/>
                <w:b/>
                <w:color w:val="333333"/>
                <w:sz w:val="20"/>
                <w:szCs w:val="20"/>
                <w:shd w:val="clear" w:color="auto" w:fill="FFFFFD"/>
              </w:rPr>
            </w:pPr>
            <w:r w:rsidRPr="00EC6A5A">
              <w:rPr>
                <w:rFonts w:cstheme="minorHAnsi"/>
                <w:b/>
                <w:color w:val="333333"/>
                <w:sz w:val="20"/>
                <w:szCs w:val="20"/>
                <w:shd w:val="clear" w:color="auto" w:fill="FFFFFD"/>
              </w:rPr>
              <w:t>VALOR</w:t>
            </w:r>
          </w:p>
        </w:tc>
      </w:tr>
      <w:tr w:rsidR="00EC6A5A" w:rsidRPr="00EC6A5A" w:rsidTr="00EC6A5A">
        <w:tc>
          <w:tcPr>
            <w:tcW w:w="2161" w:type="dxa"/>
          </w:tcPr>
          <w:p w:rsidR="00EC6A5A" w:rsidRPr="00C5745D" w:rsidRDefault="00A321B3" w:rsidP="00A321B3">
            <w:pPr>
              <w:spacing w:line="276" w:lineRule="auto"/>
              <w:jc w:val="center"/>
              <w:rPr>
                <w:rFonts w:cstheme="minorHAnsi"/>
                <w:color w:val="FF0000"/>
                <w:sz w:val="20"/>
                <w:szCs w:val="20"/>
                <w:shd w:val="clear" w:color="auto" w:fill="FFFFFD"/>
              </w:rPr>
            </w:pPr>
            <w:proofErr w:type="spellStart"/>
            <w:r>
              <w:rPr>
                <w:rFonts w:cstheme="minorHAnsi"/>
                <w:color w:val="FF0000"/>
                <w:sz w:val="20"/>
                <w:szCs w:val="20"/>
                <w:shd w:val="clear" w:color="auto" w:fill="FFFFFD"/>
              </w:rPr>
              <w:t>Xx</w:t>
            </w:r>
            <w:proofErr w:type="spellEnd"/>
            <w:r>
              <w:rPr>
                <w:rFonts w:cstheme="minorHAnsi"/>
                <w:color w:val="FF0000"/>
                <w:sz w:val="20"/>
                <w:szCs w:val="20"/>
                <w:shd w:val="clear" w:color="auto" w:fill="FFFFFD"/>
              </w:rPr>
              <w:t>/12</w:t>
            </w:r>
            <w:r w:rsidR="00C5745D" w:rsidRPr="00C5745D">
              <w:rPr>
                <w:rFonts w:cstheme="minorHAnsi"/>
                <w:color w:val="FF0000"/>
                <w:sz w:val="20"/>
                <w:szCs w:val="20"/>
                <w:shd w:val="clear" w:color="auto" w:fill="FFFFFD"/>
              </w:rPr>
              <w:t>/</w:t>
            </w:r>
            <w:r>
              <w:rPr>
                <w:rFonts w:cstheme="minorHAnsi"/>
                <w:color w:val="FF0000"/>
                <w:sz w:val="20"/>
                <w:szCs w:val="20"/>
                <w:shd w:val="clear" w:color="auto" w:fill="FFFFFD"/>
              </w:rPr>
              <w:t>2016</w:t>
            </w:r>
          </w:p>
        </w:tc>
        <w:tc>
          <w:tcPr>
            <w:tcW w:w="2161" w:type="dxa"/>
          </w:tcPr>
          <w:p w:rsidR="00EC6A5A" w:rsidRPr="00EC6A5A" w:rsidRDefault="00EC6A5A" w:rsidP="00EC6A5A">
            <w:pPr>
              <w:spacing w:line="276" w:lineRule="auto"/>
              <w:jc w:val="center"/>
              <w:rPr>
                <w:rFonts w:cstheme="minorHAnsi"/>
                <w:color w:val="333333"/>
                <w:sz w:val="20"/>
                <w:szCs w:val="20"/>
                <w:shd w:val="clear" w:color="auto" w:fill="FFFFFD"/>
              </w:rPr>
            </w:pPr>
          </w:p>
        </w:tc>
        <w:tc>
          <w:tcPr>
            <w:tcW w:w="2161" w:type="dxa"/>
          </w:tcPr>
          <w:p w:rsidR="00EC6A5A" w:rsidRPr="00EC6A5A" w:rsidRDefault="00EC6A5A" w:rsidP="00EC6A5A">
            <w:pPr>
              <w:spacing w:line="276" w:lineRule="auto"/>
              <w:jc w:val="center"/>
              <w:rPr>
                <w:rFonts w:cstheme="minorHAnsi"/>
                <w:color w:val="333333"/>
                <w:sz w:val="20"/>
                <w:szCs w:val="20"/>
                <w:shd w:val="clear" w:color="auto" w:fill="FFFFFD"/>
              </w:rPr>
            </w:pPr>
            <w:r w:rsidRPr="00EC6A5A">
              <w:rPr>
                <w:rFonts w:cstheme="minorHAnsi"/>
                <w:color w:val="333333"/>
                <w:sz w:val="20"/>
                <w:szCs w:val="20"/>
                <w:shd w:val="clear" w:color="auto" w:fill="FFFFFD"/>
              </w:rPr>
              <w:t>R$ 183.250,00</w:t>
            </w:r>
          </w:p>
        </w:tc>
        <w:tc>
          <w:tcPr>
            <w:tcW w:w="2161" w:type="dxa"/>
          </w:tcPr>
          <w:p w:rsidR="00EC6A5A" w:rsidRPr="00EC6A5A" w:rsidRDefault="00EC6A5A" w:rsidP="00EC6A5A">
            <w:pPr>
              <w:spacing w:line="276" w:lineRule="auto"/>
              <w:jc w:val="center"/>
              <w:rPr>
                <w:rFonts w:cstheme="minorHAnsi"/>
                <w:color w:val="333333"/>
                <w:sz w:val="20"/>
                <w:szCs w:val="20"/>
                <w:shd w:val="clear" w:color="auto" w:fill="FFFFFD"/>
              </w:rPr>
            </w:pPr>
          </w:p>
        </w:tc>
      </w:tr>
      <w:tr w:rsidR="00EC6A5A" w:rsidRPr="00EC6A5A" w:rsidTr="00EC6A5A">
        <w:tc>
          <w:tcPr>
            <w:tcW w:w="2161" w:type="dxa"/>
          </w:tcPr>
          <w:p w:rsidR="00EC6A5A" w:rsidRPr="00C5745D" w:rsidRDefault="00A321B3" w:rsidP="00A321B3">
            <w:pPr>
              <w:spacing w:line="276" w:lineRule="auto"/>
              <w:jc w:val="center"/>
              <w:rPr>
                <w:rFonts w:cstheme="minorHAnsi"/>
                <w:color w:val="FF0000"/>
                <w:sz w:val="20"/>
                <w:szCs w:val="20"/>
                <w:shd w:val="clear" w:color="auto" w:fill="FFFFFD"/>
              </w:rPr>
            </w:pPr>
            <w:proofErr w:type="spellStart"/>
            <w:r>
              <w:rPr>
                <w:rFonts w:cstheme="minorHAnsi"/>
                <w:color w:val="FF0000"/>
                <w:sz w:val="20"/>
                <w:szCs w:val="20"/>
                <w:shd w:val="clear" w:color="auto" w:fill="FFFFFD"/>
              </w:rPr>
              <w:t>Xx</w:t>
            </w:r>
            <w:proofErr w:type="spellEnd"/>
            <w:r>
              <w:rPr>
                <w:rFonts w:cstheme="minorHAnsi"/>
                <w:color w:val="FF0000"/>
                <w:sz w:val="20"/>
                <w:szCs w:val="20"/>
                <w:shd w:val="clear" w:color="auto" w:fill="FFFFFD"/>
              </w:rPr>
              <w:t>/12</w:t>
            </w:r>
            <w:r w:rsidR="00C5745D" w:rsidRPr="00C5745D">
              <w:rPr>
                <w:rFonts w:cstheme="minorHAnsi"/>
                <w:color w:val="FF0000"/>
                <w:sz w:val="20"/>
                <w:szCs w:val="20"/>
                <w:shd w:val="clear" w:color="auto" w:fill="FFFFFD"/>
              </w:rPr>
              <w:t>/</w:t>
            </w:r>
            <w:r>
              <w:rPr>
                <w:rFonts w:cstheme="minorHAnsi"/>
                <w:color w:val="FF0000"/>
                <w:sz w:val="20"/>
                <w:szCs w:val="20"/>
                <w:shd w:val="clear" w:color="auto" w:fill="FFFFFD"/>
              </w:rPr>
              <w:t>2017</w:t>
            </w:r>
          </w:p>
        </w:tc>
        <w:tc>
          <w:tcPr>
            <w:tcW w:w="2161" w:type="dxa"/>
          </w:tcPr>
          <w:p w:rsidR="00EC6A5A" w:rsidRPr="00EC6A5A" w:rsidRDefault="00EC6A5A" w:rsidP="00EC6A5A">
            <w:pPr>
              <w:spacing w:line="276" w:lineRule="auto"/>
              <w:jc w:val="center"/>
              <w:rPr>
                <w:rFonts w:cstheme="minorHAnsi"/>
                <w:color w:val="333333"/>
                <w:sz w:val="20"/>
                <w:szCs w:val="20"/>
                <w:shd w:val="clear" w:color="auto" w:fill="FFFFFD"/>
              </w:rPr>
            </w:pPr>
            <w:r w:rsidRPr="00EC6A5A">
              <w:rPr>
                <w:rFonts w:cstheme="minorHAnsi"/>
                <w:sz w:val="20"/>
                <w:szCs w:val="20"/>
              </w:rPr>
              <w:t>R$ 732.907,00</w:t>
            </w:r>
          </w:p>
        </w:tc>
        <w:tc>
          <w:tcPr>
            <w:tcW w:w="2161" w:type="dxa"/>
          </w:tcPr>
          <w:p w:rsidR="00EC6A5A" w:rsidRPr="00EC6A5A" w:rsidRDefault="00EC6A5A" w:rsidP="00EC6A5A">
            <w:pPr>
              <w:spacing w:line="276" w:lineRule="auto"/>
              <w:jc w:val="center"/>
              <w:rPr>
                <w:rFonts w:cstheme="minorHAnsi"/>
                <w:color w:val="333333"/>
                <w:sz w:val="20"/>
                <w:szCs w:val="20"/>
                <w:shd w:val="clear" w:color="auto" w:fill="FFFFFD"/>
              </w:rPr>
            </w:pPr>
          </w:p>
        </w:tc>
        <w:tc>
          <w:tcPr>
            <w:tcW w:w="2161" w:type="dxa"/>
          </w:tcPr>
          <w:p w:rsidR="00EC6A5A" w:rsidRPr="00EC6A5A" w:rsidRDefault="00EC6A5A" w:rsidP="00EC6A5A">
            <w:pPr>
              <w:spacing w:line="276" w:lineRule="auto"/>
              <w:jc w:val="center"/>
              <w:rPr>
                <w:rFonts w:cstheme="minorHAnsi"/>
                <w:color w:val="333333"/>
                <w:sz w:val="20"/>
                <w:szCs w:val="20"/>
                <w:shd w:val="clear" w:color="auto" w:fill="FFFFFD"/>
              </w:rPr>
            </w:pPr>
          </w:p>
        </w:tc>
      </w:tr>
      <w:tr w:rsidR="00EC6A5A" w:rsidRPr="00EC6A5A" w:rsidTr="00DC30ED">
        <w:tc>
          <w:tcPr>
            <w:tcW w:w="6483" w:type="dxa"/>
            <w:gridSpan w:val="3"/>
          </w:tcPr>
          <w:p w:rsidR="00EC6A5A" w:rsidRPr="00EC6A5A" w:rsidRDefault="00EC6A5A" w:rsidP="00EC6A5A">
            <w:pPr>
              <w:spacing w:line="276" w:lineRule="auto"/>
              <w:rPr>
                <w:rFonts w:cstheme="minorHAnsi"/>
                <w:b/>
                <w:color w:val="333333"/>
                <w:sz w:val="20"/>
                <w:szCs w:val="20"/>
                <w:shd w:val="clear" w:color="auto" w:fill="FFFFFD"/>
              </w:rPr>
            </w:pPr>
            <w:r w:rsidRPr="00EC6A5A">
              <w:rPr>
                <w:rFonts w:cstheme="minorHAnsi"/>
                <w:b/>
                <w:color w:val="333333"/>
                <w:sz w:val="20"/>
                <w:szCs w:val="20"/>
                <w:shd w:val="clear" w:color="auto" w:fill="FFFFFD"/>
              </w:rPr>
              <w:t>TOTAL</w:t>
            </w:r>
          </w:p>
        </w:tc>
        <w:tc>
          <w:tcPr>
            <w:tcW w:w="2161" w:type="dxa"/>
          </w:tcPr>
          <w:p w:rsidR="00EC6A5A" w:rsidRPr="00EC6A5A" w:rsidRDefault="00EC6A5A" w:rsidP="00EC6A5A">
            <w:pPr>
              <w:spacing w:line="276" w:lineRule="auto"/>
              <w:jc w:val="center"/>
              <w:rPr>
                <w:rFonts w:cstheme="minorHAnsi"/>
                <w:color w:val="333333"/>
                <w:sz w:val="20"/>
                <w:szCs w:val="20"/>
                <w:shd w:val="clear" w:color="auto" w:fill="FFFFFD"/>
              </w:rPr>
            </w:pPr>
            <w:r w:rsidRPr="00EC6A5A">
              <w:rPr>
                <w:rFonts w:cstheme="minorHAnsi"/>
                <w:color w:val="333333"/>
                <w:sz w:val="20"/>
                <w:szCs w:val="20"/>
                <w:shd w:val="clear" w:color="auto" w:fill="FFFFFD"/>
              </w:rPr>
              <w:t>916.157,00</w:t>
            </w:r>
          </w:p>
        </w:tc>
      </w:tr>
      <w:tr w:rsidR="00EC6A5A" w:rsidRPr="00EC6A5A" w:rsidTr="00281A30">
        <w:tc>
          <w:tcPr>
            <w:tcW w:w="6483" w:type="dxa"/>
            <w:gridSpan w:val="3"/>
          </w:tcPr>
          <w:p w:rsidR="00EC6A5A" w:rsidRPr="00EC6A5A" w:rsidRDefault="00EC6A5A" w:rsidP="00EC6A5A">
            <w:pPr>
              <w:spacing w:line="276" w:lineRule="auto"/>
              <w:rPr>
                <w:rFonts w:cstheme="minorHAnsi"/>
                <w:b/>
                <w:color w:val="333333"/>
                <w:sz w:val="20"/>
                <w:szCs w:val="20"/>
                <w:shd w:val="clear" w:color="auto" w:fill="FFFFFD"/>
              </w:rPr>
            </w:pPr>
            <w:r w:rsidRPr="00EC6A5A">
              <w:rPr>
                <w:rFonts w:cstheme="minorHAnsi"/>
                <w:b/>
                <w:color w:val="333333"/>
                <w:sz w:val="20"/>
                <w:szCs w:val="20"/>
                <w:shd w:val="clear" w:color="auto" w:fill="FFFFFD"/>
              </w:rPr>
              <w:t>RENDIMENTOS</w:t>
            </w:r>
          </w:p>
        </w:tc>
        <w:tc>
          <w:tcPr>
            <w:tcW w:w="2161" w:type="dxa"/>
          </w:tcPr>
          <w:p w:rsidR="00EC6A5A" w:rsidRPr="00EC6A5A" w:rsidRDefault="00EC6A5A" w:rsidP="00EC6A5A">
            <w:pPr>
              <w:spacing w:line="276" w:lineRule="auto"/>
              <w:jc w:val="center"/>
              <w:rPr>
                <w:rFonts w:cstheme="minorHAnsi"/>
                <w:color w:val="333333"/>
                <w:sz w:val="20"/>
                <w:szCs w:val="20"/>
                <w:shd w:val="clear" w:color="auto" w:fill="FFFFFD"/>
              </w:rPr>
            </w:pPr>
          </w:p>
        </w:tc>
      </w:tr>
      <w:tr w:rsidR="00EC6A5A" w:rsidRPr="00EC6A5A" w:rsidTr="00CE129A">
        <w:tc>
          <w:tcPr>
            <w:tcW w:w="6483" w:type="dxa"/>
            <w:gridSpan w:val="3"/>
          </w:tcPr>
          <w:p w:rsidR="00EC6A5A" w:rsidRPr="00EC6A5A" w:rsidRDefault="00EC6A5A" w:rsidP="00EC6A5A">
            <w:pPr>
              <w:spacing w:line="276" w:lineRule="auto"/>
              <w:rPr>
                <w:rFonts w:cstheme="minorHAnsi"/>
                <w:b/>
                <w:color w:val="333333"/>
                <w:sz w:val="20"/>
                <w:szCs w:val="20"/>
                <w:shd w:val="clear" w:color="auto" w:fill="FFFFFD"/>
              </w:rPr>
            </w:pPr>
            <w:r w:rsidRPr="00EC6A5A">
              <w:rPr>
                <w:rFonts w:cstheme="minorHAnsi"/>
                <w:b/>
                <w:color w:val="333333"/>
                <w:sz w:val="20"/>
                <w:szCs w:val="20"/>
                <w:shd w:val="clear" w:color="auto" w:fill="FFFFFD"/>
              </w:rPr>
              <w:t>SALDO</w:t>
            </w:r>
          </w:p>
        </w:tc>
        <w:tc>
          <w:tcPr>
            <w:tcW w:w="2161" w:type="dxa"/>
          </w:tcPr>
          <w:p w:rsidR="00EC6A5A" w:rsidRPr="00EC6A5A" w:rsidRDefault="00EC6A5A" w:rsidP="00EC6A5A">
            <w:pPr>
              <w:spacing w:line="276" w:lineRule="auto"/>
              <w:jc w:val="center"/>
              <w:rPr>
                <w:rFonts w:cstheme="minorHAnsi"/>
                <w:color w:val="333333"/>
                <w:sz w:val="20"/>
                <w:szCs w:val="20"/>
                <w:shd w:val="clear" w:color="auto" w:fill="FFFFFD"/>
              </w:rPr>
            </w:pPr>
          </w:p>
        </w:tc>
      </w:tr>
    </w:tbl>
    <w:p w:rsidR="00EC6A5A" w:rsidRDefault="00EC6A5A" w:rsidP="00EC6A5A">
      <w:pPr>
        <w:spacing w:after="0"/>
        <w:jc w:val="both"/>
        <w:rPr>
          <w:rFonts w:cstheme="minorHAnsi"/>
          <w:color w:val="333333"/>
          <w:shd w:val="clear" w:color="auto" w:fill="FFFFFD"/>
        </w:rPr>
      </w:pPr>
    </w:p>
    <w:p w:rsidR="00EC6A5A" w:rsidRDefault="00EC6A5A" w:rsidP="00EC6A5A">
      <w:pPr>
        <w:spacing w:after="0"/>
        <w:jc w:val="both"/>
        <w:rPr>
          <w:rFonts w:cstheme="minorHAnsi"/>
          <w:b/>
        </w:rPr>
      </w:pPr>
    </w:p>
    <w:p w:rsidR="008931D3" w:rsidRPr="00764238" w:rsidRDefault="008931D3" w:rsidP="00EC6A5A">
      <w:pPr>
        <w:spacing w:after="0"/>
        <w:jc w:val="both"/>
        <w:rPr>
          <w:rFonts w:cstheme="minorHAnsi"/>
          <w:b/>
        </w:rPr>
      </w:pPr>
    </w:p>
    <w:p w:rsidR="00733882" w:rsidRPr="008931D3" w:rsidRDefault="007546A9" w:rsidP="008931D3">
      <w:pPr>
        <w:spacing w:after="0"/>
        <w:jc w:val="center"/>
        <w:rPr>
          <w:b/>
          <w:u w:val="single"/>
        </w:rPr>
      </w:pPr>
      <w:r w:rsidRPr="008931D3">
        <w:rPr>
          <w:b/>
          <w:u w:val="single"/>
        </w:rPr>
        <w:t>META 1 – Otimização d</w:t>
      </w:r>
      <w:r w:rsidR="00817C9D" w:rsidRPr="008931D3">
        <w:rPr>
          <w:b/>
          <w:u w:val="single"/>
        </w:rPr>
        <w:t>a Capacidade de Monitoramento Ambiental</w:t>
      </w:r>
    </w:p>
    <w:p w:rsidR="008931D3" w:rsidRPr="002C6251" w:rsidRDefault="008931D3" w:rsidP="008931D3">
      <w:pPr>
        <w:spacing w:after="0"/>
        <w:jc w:val="center"/>
        <w:rPr>
          <w:b/>
        </w:rPr>
      </w:pPr>
    </w:p>
    <w:p w:rsidR="007546A9" w:rsidRDefault="00817C9D" w:rsidP="00EC6A5A">
      <w:pPr>
        <w:spacing w:after="0"/>
        <w:jc w:val="both"/>
      </w:pPr>
      <w:r>
        <w:t xml:space="preserve">Valor previsto: </w:t>
      </w:r>
      <w:r w:rsidR="009807D4">
        <w:t xml:space="preserve">R$ </w:t>
      </w:r>
      <w:r>
        <w:t>692.135,00</w:t>
      </w:r>
    </w:p>
    <w:p w:rsidR="009807D4" w:rsidRDefault="009807D4" w:rsidP="00EC6A5A">
      <w:pPr>
        <w:spacing w:after="0"/>
        <w:jc w:val="both"/>
      </w:pPr>
      <w:r>
        <w:t>Recurso gasto: R$ 0,00.</w:t>
      </w:r>
    </w:p>
    <w:p w:rsidR="00EC6A5A" w:rsidRDefault="00EC6A5A" w:rsidP="00EC6A5A">
      <w:pPr>
        <w:spacing w:after="0"/>
        <w:jc w:val="both"/>
        <w:rPr>
          <w:u w:val="single"/>
        </w:rPr>
      </w:pPr>
    </w:p>
    <w:p w:rsidR="008931D3" w:rsidRDefault="001F651B" w:rsidP="00EC6A5A">
      <w:pPr>
        <w:spacing w:after="0"/>
        <w:jc w:val="both"/>
      </w:pPr>
      <w:r w:rsidRPr="00EC6A5A">
        <w:rPr>
          <w:b/>
          <w:u w:val="single"/>
        </w:rPr>
        <w:t>Etapa</w:t>
      </w:r>
      <w:r w:rsidR="002C6251" w:rsidRPr="00EC6A5A">
        <w:rPr>
          <w:b/>
          <w:u w:val="single"/>
        </w:rPr>
        <w:t xml:space="preserve"> 1.1</w:t>
      </w:r>
      <w:r w:rsidR="002C6251">
        <w:t xml:space="preserve">: </w:t>
      </w:r>
      <w:r>
        <w:t>Equipagem do laboratório de análise de amostras de solo e água para produtos perigosos do IAP</w:t>
      </w:r>
      <w:r w:rsidR="008931D3">
        <w:t>.</w:t>
      </w:r>
    </w:p>
    <w:p w:rsidR="009807D4" w:rsidRPr="00362CAF" w:rsidRDefault="008931D3" w:rsidP="00EC6A5A">
      <w:pPr>
        <w:spacing w:after="0"/>
        <w:jc w:val="both"/>
        <w:rPr>
          <w:b/>
        </w:rPr>
      </w:pPr>
      <w:r w:rsidRPr="00362CAF">
        <w:t>Status:</w:t>
      </w:r>
      <w:r w:rsidR="009807D4" w:rsidRPr="00362CAF">
        <w:t xml:space="preserve"> </w:t>
      </w:r>
      <w:r w:rsidR="00981260">
        <w:rPr>
          <w:b/>
        </w:rPr>
        <w:t>não iniciado</w:t>
      </w:r>
      <w:r w:rsidRPr="00362CAF">
        <w:rPr>
          <w:b/>
        </w:rPr>
        <w:t>.</w:t>
      </w:r>
    </w:p>
    <w:p w:rsidR="008931D3" w:rsidRPr="00362CAF" w:rsidRDefault="008931D3" w:rsidP="00EC6A5A">
      <w:pPr>
        <w:spacing w:after="0"/>
        <w:jc w:val="both"/>
        <w:rPr>
          <w:b/>
          <w:i/>
        </w:rPr>
      </w:pPr>
      <w:r w:rsidRPr="00362CAF">
        <w:t xml:space="preserve">Previsão de conclusão: </w:t>
      </w:r>
      <w:r w:rsidR="00C36ED1">
        <w:rPr>
          <w:b/>
          <w:i/>
        </w:rPr>
        <w:t>16/07</w:t>
      </w:r>
      <w:r w:rsidR="00C36ED1" w:rsidRPr="00C36ED1">
        <w:rPr>
          <w:b/>
          <w:i/>
        </w:rPr>
        <w:t>/2021</w:t>
      </w:r>
    </w:p>
    <w:p w:rsidR="009807D4" w:rsidRDefault="009807D4" w:rsidP="00EC6A5A">
      <w:pPr>
        <w:spacing w:after="0"/>
        <w:jc w:val="both"/>
      </w:pPr>
      <w:r w:rsidRPr="00EC6A5A">
        <w:rPr>
          <w:u w:val="single"/>
        </w:rPr>
        <w:t>Justificativa</w:t>
      </w:r>
      <w:r>
        <w:t>:</w:t>
      </w:r>
    </w:p>
    <w:p w:rsidR="00817C9D" w:rsidRDefault="00AD333F" w:rsidP="00EC6A5A">
      <w:pPr>
        <w:spacing w:after="0"/>
        <w:jc w:val="both"/>
      </w:pPr>
      <w:r>
        <w:t xml:space="preserve">Recurso previsto para o 3º desembolso. </w:t>
      </w:r>
      <w:r w:rsidR="009807D4">
        <w:t>Apesar d</w:t>
      </w:r>
      <w:r w:rsidR="00A729E3">
        <w:t xml:space="preserve">e </w:t>
      </w:r>
      <w:r w:rsidR="009807D4">
        <w:t xml:space="preserve">este item ser definido como META 1 a sua execução está prevista </w:t>
      </w:r>
      <w:r w:rsidR="00A729E3">
        <w:t xml:space="preserve">para após o desenvolvimento da aquisição de equipamentos e dos projetos das bacias. Uma vez que é necessária a execução das demais metas para que esta possa ser implementada, ainda não foi iniciada. </w:t>
      </w:r>
      <w:r w:rsidR="00981260">
        <w:t>Já houve a aquisição de alguns materiais a partir de um convênio com a Agência Nacional de Águas que permitiu a aquisição de alguns dos equipamentos que estavam previstos na meta. Isto possibilitou a realocação de parte do recurso, conforme ajuste do Plano de Trabalho realizado.</w:t>
      </w:r>
    </w:p>
    <w:p w:rsidR="008931D3" w:rsidRDefault="008931D3" w:rsidP="00EC6A5A">
      <w:pPr>
        <w:spacing w:after="0"/>
        <w:jc w:val="both"/>
      </w:pPr>
    </w:p>
    <w:p w:rsidR="000C08D4" w:rsidRPr="008931D3" w:rsidRDefault="007546A9" w:rsidP="008931D3">
      <w:pPr>
        <w:spacing w:after="0"/>
        <w:jc w:val="center"/>
        <w:rPr>
          <w:b/>
          <w:u w:val="single"/>
        </w:rPr>
      </w:pPr>
      <w:r w:rsidRPr="008931D3">
        <w:rPr>
          <w:b/>
          <w:u w:val="single"/>
        </w:rPr>
        <w:t xml:space="preserve">META </w:t>
      </w:r>
      <w:r w:rsidR="00817C9D" w:rsidRPr="008931D3">
        <w:rPr>
          <w:b/>
          <w:u w:val="single"/>
        </w:rPr>
        <w:t>2 – Elaboração dos protocolos padronizados de atendimento a emergências químicas</w:t>
      </w:r>
    </w:p>
    <w:p w:rsidR="008931D3" w:rsidRPr="001F651B" w:rsidRDefault="008931D3" w:rsidP="008931D3">
      <w:pPr>
        <w:spacing w:after="0"/>
        <w:jc w:val="center"/>
        <w:rPr>
          <w:b/>
        </w:rPr>
      </w:pPr>
    </w:p>
    <w:p w:rsidR="00817C9D" w:rsidRDefault="00817C9D" w:rsidP="00EC6A5A">
      <w:pPr>
        <w:spacing w:after="0"/>
        <w:jc w:val="both"/>
      </w:pPr>
      <w:r>
        <w:t>Valor previsto: 4.500,00</w:t>
      </w:r>
      <w:r w:rsidR="00EC6A5A">
        <w:t>.</w:t>
      </w:r>
    </w:p>
    <w:p w:rsidR="00EC6A5A" w:rsidRDefault="00EC6A5A" w:rsidP="00EC6A5A">
      <w:pPr>
        <w:spacing w:after="0"/>
        <w:jc w:val="both"/>
      </w:pPr>
      <w:r>
        <w:t>Recurso gasto: R$ 0,00.</w:t>
      </w:r>
    </w:p>
    <w:p w:rsidR="00EC6A5A" w:rsidRDefault="00EC6A5A" w:rsidP="00EC6A5A">
      <w:pPr>
        <w:spacing w:after="0"/>
        <w:jc w:val="both"/>
        <w:rPr>
          <w:b/>
          <w:u w:val="single"/>
        </w:rPr>
      </w:pPr>
    </w:p>
    <w:p w:rsidR="001F651B" w:rsidRDefault="001F651B" w:rsidP="00EC6A5A">
      <w:pPr>
        <w:spacing w:after="0"/>
        <w:jc w:val="both"/>
      </w:pPr>
      <w:r w:rsidRPr="00EC6A5A">
        <w:rPr>
          <w:b/>
          <w:u w:val="single"/>
        </w:rPr>
        <w:lastRenderedPageBreak/>
        <w:t>Etapa 2.1</w:t>
      </w:r>
      <w:r>
        <w:t xml:space="preserve">: Desenvolvimento dos protocolos de atendimento a emergências com produtos </w:t>
      </w:r>
      <w:r w:rsidR="00EC6A5A">
        <w:t>perigosos Estadual e Regional.</w:t>
      </w:r>
    </w:p>
    <w:p w:rsidR="00EC6A5A" w:rsidRDefault="00EC6A5A" w:rsidP="00EC6A5A">
      <w:pPr>
        <w:spacing w:after="0"/>
        <w:jc w:val="both"/>
      </w:pPr>
      <w:r>
        <w:t xml:space="preserve">Status: </w:t>
      </w:r>
      <w:r w:rsidRPr="00A729E3">
        <w:rPr>
          <w:b/>
        </w:rPr>
        <w:t>Concluído</w:t>
      </w:r>
      <w:r>
        <w:rPr>
          <w:b/>
        </w:rPr>
        <w:t>.</w:t>
      </w:r>
    </w:p>
    <w:p w:rsidR="00EC6A5A" w:rsidRDefault="00EC6A5A" w:rsidP="00EC6A5A">
      <w:pPr>
        <w:spacing w:after="0"/>
        <w:jc w:val="both"/>
      </w:pPr>
      <w:r w:rsidRPr="00EC6A5A">
        <w:rPr>
          <w:u w:val="single"/>
        </w:rPr>
        <w:t>Justificativa</w:t>
      </w:r>
      <w:r>
        <w:t xml:space="preserve">: </w:t>
      </w:r>
    </w:p>
    <w:p w:rsidR="00A729E3" w:rsidRDefault="00A729E3" w:rsidP="00EC6A5A">
      <w:pPr>
        <w:spacing w:after="0"/>
        <w:jc w:val="both"/>
      </w:pPr>
      <w:r>
        <w:t>O protocolo para atendimento a emergências com produtos perigosos foi desenvolvido em 2016, após alguns eventos de integração entre as instituições envolvidas no atendimento, focando na fiscalização rodoviária de produtos perigosos e no atendimento a emergências com produtos perigosos nas rodovias. Há previsão de revisão deste plano em 2019, em face do tempo transcorrido.</w:t>
      </w:r>
    </w:p>
    <w:p w:rsidR="002B2EC1" w:rsidRDefault="002B2EC1" w:rsidP="00EC6A5A">
      <w:pPr>
        <w:spacing w:after="0"/>
        <w:jc w:val="both"/>
      </w:pPr>
      <w:r>
        <w:t xml:space="preserve">O documento está disponível e pode ser acessado no endereço abaixo: </w:t>
      </w:r>
    </w:p>
    <w:p w:rsidR="002B2EC1" w:rsidRDefault="002B2EC1" w:rsidP="00EC6A5A">
      <w:pPr>
        <w:spacing w:after="0"/>
        <w:jc w:val="both"/>
      </w:pPr>
      <w:r w:rsidRPr="002B2EC1">
        <w:t>http://www.defesacivil.pr.gov.br/Pagina/Comissao-estadual-P2R2</w:t>
      </w:r>
    </w:p>
    <w:p w:rsidR="002B2EC1" w:rsidRDefault="002B2EC1" w:rsidP="00EC6A5A">
      <w:pPr>
        <w:spacing w:after="0"/>
        <w:jc w:val="both"/>
      </w:pPr>
    </w:p>
    <w:p w:rsidR="001F651B" w:rsidRDefault="001F651B" w:rsidP="00EC6A5A">
      <w:pPr>
        <w:spacing w:after="0"/>
        <w:jc w:val="both"/>
      </w:pPr>
      <w:r w:rsidRPr="00EC6A5A">
        <w:rPr>
          <w:b/>
          <w:u w:val="single"/>
        </w:rPr>
        <w:t>Etapa 2.2</w:t>
      </w:r>
      <w:r>
        <w:t>: Homologação dos protocolos de atendimento a emergências.</w:t>
      </w:r>
    </w:p>
    <w:p w:rsidR="00EC6A5A" w:rsidRDefault="00EC6A5A" w:rsidP="00EC6A5A">
      <w:pPr>
        <w:spacing w:after="0"/>
        <w:jc w:val="both"/>
        <w:rPr>
          <w:b/>
        </w:rPr>
      </w:pPr>
      <w:r>
        <w:t xml:space="preserve">Status: </w:t>
      </w:r>
      <w:r w:rsidRPr="00EC6A5A">
        <w:rPr>
          <w:b/>
        </w:rPr>
        <w:t>concluído.</w:t>
      </w:r>
    </w:p>
    <w:p w:rsidR="00EC6A5A" w:rsidRPr="00EC6A5A" w:rsidRDefault="00EC6A5A" w:rsidP="00EC6A5A">
      <w:pPr>
        <w:spacing w:after="0"/>
        <w:jc w:val="both"/>
        <w:rPr>
          <w:u w:val="single"/>
        </w:rPr>
      </w:pPr>
      <w:r w:rsidRPr="00EC6A5A">
        <w:rPr>
          <w:u w:val="single"/>
        </w:rPr>
        <w:t>Justificativa</w:t>
      </w:r>
      <w:r>
        <w:rPr>
          <w:u w:val="single"/>
        </w:rPr>
        <w:t>:</w:t>
      </w:r>
    </w:p>
    <w:p w:rsidR="00A729E3" w:rsidRDefault="002B2EC1" w:rsidP="00EC6A5A">
      <w:pPr>
        <w:spacing w:after="0"/>
        <w:jc w:val="both"/>
      </w:pPr>
      <w:r>
        <w:t xml:space="preserve">Os planos foram </w:t>
      </w:r>
      <w:r w:rsidR="00A729E3">
        <w:t xml:space="preserve">homologados, com aprovação em 2016, </w:t>
      </w:r>
      <w:r>
        <w:t>devendo ser utilizados para o atendimento a emergências no Estado. A revisão do plano que deverá acontecer esse ano</w:t>
      </w:r>
      <w:r w:rsidR="006E36D6">
        <w:t xml:space="preserve">, o que corrobora para o aperfeiçoamento do </w:t>
      </w:r>
      <w:r>
        <w:t>protocolo de atendimento, garantindo a s</w:t>
      </w:r>
      <w:r w:rsidR="006E36D6">
        <w:t>ua eficiência nos atendimentos.</w:t>
      </w:r>
    </w:p>
    <w:p w:rsidR="006E36D6" w:rsidRDefault="006E36D6" w:rsidP="00EC6A5A">
      <w:pPr>
        <w:spacing w:after="0"/>
        <w:jc w:val="both"/>
      </w:pPr>
    </w:p>
    <w:p w:rsidR="00817C9D" w:rsidRDefault="00817C9D" w:rsidP="00EC6A5A">
      <w:pPr>
        <w:spacing w:after="0"/>
        <w:jc w:val="both"/>
      </w:pPr>
    </w:p>
    <w:p w:rsidR="008931D3" w:rsidRDefault="008931D3" w:rsidP="00EC6A5A">
      <w:pPr>
        <w:spacing w:after="0"/>
        <w:jc w:val="both"/>
      </w:pPr>
    </w:p>
    <w:p w:rsidR="00817C9D" w:rsidRPr="008931D3" w:rsidRDefault="00817C9D" w:rsidP="008931D3">
      <w:pPr>
        <w:spacing w:after="0"/>
        <w:jc w:val="center"/>
        <w:rPr>
          <w:b/>
          <w:u w:val="single"/>
        </w:rPr>
      </w:pPr>
      <w:r w:rsidRPr="008931D3">
        <w:rPr>
          <w:b/>
          <w:u w:val="single"/>
        </w:rPr>
        <w:t>META 3 – Aquisição de Projetos de Engenharia</w:t>
      </w:r>
    </w:p>
    <w:p w:rsidR="008931D3" w:rsidRPr="001F651B" w:rsidRDefault="008931D3" w:rsidP="008931D3">
      <w:pPr>
        <w:spacing w:after="0"/>
        <w:jc w:val="center"/>
        <w:rPr>
          <w:b/>
        </w:rPr>
      </w:pPr>
    </w:p>
    <w:p w:rsidR="00817C9D" w:rsidRDefault="00817C9D" w:rsidP="00EC6A5A">
      <w:pPr>
        <w:spacing w:after="0"/>
        <w:jc w:val="both"/>
      </w:pPr>
      <w:r>
        <w:t>Valor previsto: 187.000,00</w:t>
      </w:r>
    </w:p>
    <w:p w:rsidR="00EC6A5A" w:rsidRDefault="00EC6A5A" w:rsidP="00EC6A5A">
      <w:pPr>
        <w:spacing w:after="0"/>
        <w:jc w:val="both"/>
      </w:pPr>
      <w:r>
        <w:t>Recurso gasto: R$ 0,00.</w:t>
      </w:r>
    </w:p>
    <w:p w:rsidR="001F651B" w:rsidRDefault="001F651B" w:rsidP="00EC6A5A">
      <w:pPr>
        <w:spacing w:after="0"/>
        <w:jc w:val="both"/>
      </w:pPr>
    </w:p>
    <w:p w:rsidR="00EC6A5A" w:rsidRDefault="001F651B" w:rsidP="00EC6A5A">
      <w:pPr>
        <w:spacing w:after="0"/>
        <w:jc w:val="both"/>
      </w:pPr>
      <w:r w:rsidRPr="00EC6A5A">
        <w:rPr>
          <w:b/>
          <w:u w:val="single"/>
        </w:rPr>
        <w:t>Etapa 3.1</w:t>
      </w:r>
      <w:r>
        <w:t>: Aquisição dos projetos das bacias de contenção</w:t>
      </w:r>
      <w:r w:rsidR="00EC6A5A">
        <w:t>.</w:t>
      </w:r>
    </w:p>
    <w:p w:rsidR="00EC6A5A" w:rsidRDefault="00EC6A5A" w:rsidP="00EC6A5A">
      <w:pPr>
        <w:spacing w:after="0"/>
        <w:jc w:val="both"/>
        <w:rPr>
          <w:b/>
        </w:rPr>
      </w:pPr>
      <w:r>
        <w:t xml:space="preserve">Status: </w:t>
      </w:r>
      <w:r>
        <w:rPr>
          <w:b/>
        </w:rPr>
        <w:t>em andamento</w:t>
      </w:r>
      <w:r w:rsidRPr="002B2EC1">
        <w:rPr>
          <w:b/>
        </w:rPr>
        <w:t>.</w:t>
      </w:r>
    </w:p>
    <w:p w:rsidR="008931D3" w:rsidRPr="008931D3" w:rsidRDefault="008931D3" w:rsidP="008931D3">
      <w:pPr>
        <w:spacing w:after="0"/>
        <w:jc w:val="both"/>
      </w:pPr>
      <w:r w:rsidRPr="008931D3">
        <w:rPr>
          <w:u w:val="single"/>
        </w:rPr>
        <w:t>Previsão de conclusão</w:t>
      </w:r>
      <w:r w:rsidRPr="008931D3">
        <w:t xml:space="preserve">: </w:t>
      </w:r>
    </w:p>
    <w:p w:rsidR="00EC6A5A" w:rsidRPr="00EC6A5A" w:rsidRDefault="00EC6A5A" w:rsidP="00EC6A5A">
      <w:pPr>
        <w:spacing w:after="0"/>
        <w:jc w:val="both"/>
        <w:rPr>
          <w:b/>
        </w:rPr>
      </w:pPr>
      <w:r w:rsidRPr="00EC6A5A">
        <w:rPr>
          <w:u w:val="single"/>
        </w:rPr>
        <w:t>Justificativa:</w:t>
      </w:r>
    </w:p>
    <w:p w:rsidR="002B2EC1" w:rsidRPr="002B2EC1" w:rsidRDefault="00AD333F" w:rsidP="00EC6A5A">
      <w:pPr>
        <w:spacing w:after="0"/>
        <w:jc w:val="both"/>
      </w:pPr>
      <w:r>
        <w:t xml:space="preserve">Recurso previsto para o 2º desembolso. </w:t>
      </w:r>
      <w:r w:rsidR="002B2EC1">
        <w:t xml:space="preserve">A previsão de início desta etapa é após a execução da aquisição de equipamentos de atendimento para emergências com produtos perigosos. Apesar de o recurso não estar disponível, o Termo de Referência para a licitação do objeto, assim como os </w:t>
      </w:r>
      <w:r w:rsidR="001447B8">
        <w:t xml:space="preserve">possíveis </w:t>
      </w:r>
      <w:r w:rsidR="002B2EC1">
        <w:t>pontos onde devem ser alocadas as estruturas e, portanto, os pontos de referência para a confecção dos projetos já estão definidos.</w:t>
      </w:r>
      <w:r w:rsidR="00C5745D">
        <w:t xml:space="preserve"> Ressalta-se que será necessário realizar a atualização de orçamentos prevista para esta atividade. </w:t>
      </w:r>
      <w:r w:rsidR="001447B8">
        <w:t xml:space="preserve">Inicialmente, os pontos mais críticos elencados estão nas cidades de Curitiba, Guarapuava, Cascavel, Castro, Ortigueira e Mauá da Serra. </w:t>
      </w:r>
    </w:p>
    <w:p w:rsidR="00817C9D" w:rsidRDefault="00817C9D" w:rsidP="00EC6A5A">
      <w:pPr>
        <w:spacing w:after="0"/>
        <w:jc w:val="both"/>
      </w:pPr>
    </w:p>
    <w:p w:rsidR="008931D3" w:rsidRDefault="008931D3" w:rsidP="00EC6A5A">
      <w:pPr>
        <w:spacing w:after="0"/>
        <w:jc w:val="both"/>
      </w:pPr>
    </w:p>
    <w:p w:rsidR="00817C9D" w:rsidRPr="008931D3" w:rsidRDefault="00817C9D" w:rsidP="008931D3">
      <w:pPr>
        <w:spacing w:after="0"/>
        <w:jc w:val="center"/>
        <w:rPr>
          <w:b/>
          <w:u w:val="single"/>
        </w:rPr>
      </w:pPr>
      <w:r w:rsidRPr="008931D3">
        <w:rPr>
          <w:b/>
          <w:u w:val="single"/>
        </w:rPr>
        <w:t>META 4 – Capacitação</w:t>
      </w:r>
    </w:p>
    <w:p w:rsidR="008931D3" w:rsidRPr="001F651B" w:rsidRDefault="008931D3" w:rsidP="008931D3">
      <w:pPr>
        <w:spacing w:after="0"/>
        <w:jc w:val="center"/>
        <w:rPr>
          <w:b/>
        </w:rPr>
      </w:pPr>
    </w:p>
    <w:p w:rsidR="00817C9D" w:rsidRDefault="00817C9D" w:rsidP="00EC6A5A">
      <w:pPr>
        <w:spacing w:after="0"/>
        <w:jc w:val="both"/>
      </w:pPr>
      <w:r>
        <w:t>Valor Previsto: 929.872,10</w:t>
      </w:r>
    </w:p>
    <w:p w:rsidR="008931D3" w:rsidRDefault="008931D3" w:rsidP="008931D3">
      <w:pPr>
        <w:spacing w:after="0"/>
        <w:jc w:val="both"/>
      </w:pPr>
      <w:r>
        <w:t>Recurso gasto: R$ 0,00.</w:t>
      </w:r>
    </w:p>
    <w:p w:rsidR="001F651B" w:rsidRDefault="001F651B" w:rsidP="00EC6A5A">
      <w:pPr>
        <w:spacing w:after="0"/>
        <w:jc w:val="both"/>
      </w:pPr>
    </w:p>
    <w:p w:rsidR="00EC6A5A" w:rsidRDefault="001F651B" w:rsidP="00EC6A5A">
      <w:pPr>
        <w:spacing w:after="0"/>
        <w:jc w:val="both"/>
        <w:rPr>
          <w:i/>
        </w:rPr>
      </w:pPr>
      <w:r w:rsidRPr="008931D3">
        <w:rPr>
          <w:b/>
          <w:i/>
          <w:u w:val="single"/>
        </w:rPr>
        <w:t>Etapa 4.1</w:t>
      </w:r>
      <w:r w:rsidRPr="00906FAE">
        <w:rPr>
          <w:i/>
        </w:rPr>
        <w:t>: Aquisição dos kits de capacitação e dos kits operacionais para os NAPP</w:t>
      </w:r>
      <w:r w:rsidR="00EC6A5A">
        <w:rPr>
          <w:i/>
        </w:rPr>
        <w:t>.</w:t>
      </w:r>
    </w:p>
    <w:p w:rsidR="00EC6A5A" w:rsidRPr="008931D3" w:rsidRDefault="00EC6A5A" w:rsidP="00EC6A5A">
      <w:pPr>
        <w:spacing w:after="0"/>
        <w:jc w:val="both"/>
        <w:rPr>
          <w:b/>
        </w:rPr>
      </w:pPr>
      <w:r w:rsidRPr="008931D3">
        <w:t xml:space="preserve">Status: </w:t>
      </w:r>
      <w:r w:rsidRPr="008931D3">
        <w:rPr>
          <w:b/>
        </w:rPr>
        <w:t>em andamento.</w:t>
      </w:r>
    </w:p>
    <w:p w:rsidR="008931D3" w:rsidRPr="008931D3" w:rsidRDefault="008931D3" w:rsidP="008931D3">
      <w:pPr>
        <w:spacing w:after="0"/>
        <w:jc w:val="both"/>
      </w:pPr>
      <w:r w:rsidRPr="008931D3">
        <w:t xml:space="preserve">Previsão de conclusão: </w:t>
      </w:r>
    </w:p>
    <w:p w:rsidR="00EC6A5A" w:rsidRPr="00EC6A5A" w:rsidRDefault="00EC6A5A" w:rsidP="00EC6A5A">
      <w:pPr>
        <w:spacing w:after="0"/>
        <w:jc w:val="both"/>
        <w:rPr>
          <w:u w:val="single"/>
        </w:rPr>
      </w:pPr>
      <w:r w:rsidRPr="00EC6A5A">
        <w:rPr>
          <w:u w:val="single"/>
        </w:rPr>
        <w:t xml:space="preserve">Justificativa: </w:t>
      </w:r>
    </w:p>
    <w:p w:rsidR="00906FAE" w:rsidRPr="00906FAE" w:rsidRDefault="002B2EC1" w:rsidP="00EC6A5A">
      <w:pPr>
        <w:spacing w:after="0"/>
        <w:jc w:val="both"/>
        <w:rPr>
          <w:rFonts w:ascii="Calibri" w:hAnsi="Calibri" w:cs="Calibri"/>
        </w:rPr>
      </w:pPr>
      <w:r>
        <w:t xml:space="preserve">O processo de aquisição dos materiais para atendimento a emergências com produtos perigosos está em andamento, podendo ser acompanhado pelo protocolo do paraná nº </w:t>
      </w:r>
      <w:r>
        <w:rPr>
          <w:rFonts w:ascii="Calibri" w:hAnsi="Calibri" w:cs="Calibri"/>
        </w:rPr>
        <w:t>15.738.249-7</w:t>
      </w:r>
      <w:r w:rsidR="00906FAE">
        <w:rPr>
          <w:rFonts w:ascii="Calibri" w:hAnsi="Calibri" w:cs="Calibri"/>
        </w:rPr>
        <w:t>. É imperioso ressaltar que a aquisição desses materiais, previstos na primeira etapa de execução, tiveram que ser modificados</w:t>
      </w:r>
      <w:r w:rsidR="00153860">
        <w:rPr>
          <w:rFonts w:ascii="Calibri" w:hAnsi="Calibri" w:cs="Calibri"/>
        </w:rPr>
        <w:t xml:space="preserve">, primeiramente, </w:t>
      </w:r>
      <w:r w:rsidR="00906FAE">
        <w:rPr>
          <w:rFonts w:ascii="Calibri" w:hAnsi="Calibri" w:cs="Calibri"/>
        </w:rPr>
        <w:t>em face de alterações de preço, ocasionados pela latência entre a assinatura do convênio e o depósito da primeira etapa da contrapartida</w:t>
      </w:r>
      <w:r w:rsidR="00153860">
        <w:rPr>
          <w:rFonts w:ascii="Calibri" w:hAnsi="Calibri" w:cs="Calibri"/>
        </w:rPr>
        <w:t>, e em segun</w:t>
      </w:r>
      <w:r w:rsidR="009A4BFC">
        <w:rPr>
          <w:rFonts w:ascii="Calibri" w:hAnsi="Calibri" w:cs="Calibri"/>
        </w:rPr>
        <w:t>do lugar, pelo desenvolvimento de outros projetos que também tem a intenção de apoiar o fortalecimento da estrutura de atendimento disponível no Estado. Com isto em mente, h</w:t>
      </w:r>
      <w:r w:rsidR="00906FAE">
        <w:rPr>
          <w:rFonts w:ascii="Calibri" w:hAnsi="Calibri" w:cs="Calibri"/>
        </w:rPr>
        <w:t>ouve a necessidade de readequação do Plano de Trabalho, que recentemente foi atualizado, prevendo também a capacidade de atendimento a emergências dessa natureza em todo o território estadual.</w:t>
      </w:r>
    </w:p>
    <w:p w:rsidR="00906FAE" w:rsidRPr="00906FAE" w:rsidRDefault="00906FAE" w:rsidP="00EC6A5A">
      <w:pPr>
        <w:spacing w:after="0"/>
        <w:jc w:val="both"/>
        <w:rPr>
          <w:b/>
          <w:i/>
        </w:rPr>
      </w:pPr>
      <w:r w:rsidRPr="00906FAE">
        <w:rPr>
          <w:b/>
          <w:i/>
        </w:rPr>
        <w:t xml:space="preserve">Previsão de conclusão desta atividade: </w:t>
      </w:r>
      <w:r>
        <w:rPr>
          <w:b/>
          <w:i/>
        </w:rPr>
        <w:t>31/08/2019</w:t>
      </w:r>
    </w:p>
    <w:p w:rsidR="00906FAE" w:rsidRDefault="00906FAE" w:rsidP="00EC6A5A">
      <w:pPr>
        <w:spacing w:after="0"/>
        <w:jc w:val="both"/>
        <w:rPr>
          <w:u w:val="single"/>
        </w:rPr>
      </w:pPr>
    </w:p>
    <w:p w:rsidR="001F651B" w:rsidRDefault="001F651B" w:rsidP="00EC6A5A">
      <w:pPr>
        <w:spacing w:after="0"/>
        <w:jc w:val="both"/>
        <w:rPr>
          <w:i/>
        </w:rPr>
      </w:pPr>
      <w:r w:rsidRPr="008931D3">
        <w:rPr>
          <w:b/>
          <w:i/>
          <w:u w:val="single"/>
        </w:rPr>
        <w:t>Atividade 4.2</w:t>
      </w:r>
      <w:r w:rsidRPr="00906FAE">
        <w:rPr>
          <w:i/>
        </w:rPr>
        <w:t>: Estruturação dos Planos de curso e definição dos instrutores de intervenção a emergências com produtos perigosos</w:t>
      </w:r>
      <w:r w:rsidR="008931D3">
        <w:rPr>
          <w:i/>
        </w:rPr>
        <w:t>.</w:t>
      </w:r>
    </w:p>
    <w:p w:rsidR="008931D3" w:rsidRPr="008931D3" w:rsidRDefault="008931D3" w:rsidP="00EC6A5A">
      <w:pPr>
        <w:spacing w:after="0"/>
        <w:jc w:val="both"/>
        <w:rPr>
          <w:u w:val="single"/>
        </w:rPr>
      </w:pPr>
      <w:r w:rsidRPr="008931D3">
        <w:rPr>
          <w:u w:val="single"/>
        </w:rPr>
        <w:t xml:space="preserve">Justificativa: </w:t>
      </w:r>
    </w:p>
    <w:p w:rsidR="00906FAE" w:rsidRDefault="009A4BFC" w:rsidP="00EC6A5A">
      <w:pPr>
        <w:spacing w:after="0"/>
        <w:jc w:val="both"/>
      </w:pPr>
      <w:r>
        <w:t>Os planos de curso deverão ser desenvolvidos em conjunto com o Corpo de Bombeiros,</w:t>
      </w:r>
      <w:r w:rsidR="004924C7">
        <w:t xml:space="preserve"> após o recebimento dos materiais. Também a</w:t>
      </w:r>
      <w:r w:rsidR="00906FAE">
        <w:t>pós o recebimento dos materiais</w:t>
      </w:r>
      <w:r w:rsidR="004924C7">
        <w:t>,</w:t>
      </w:r>
      <w:r w:rsidR="00906FAE">
        <w:t xml:space="preserve"> os instrutores deverã</w:t>
      </w:r>
      <w:r w:rsidR="00911A14">
        <w:t>o ser definidos dentro de cada Coordenadoria R</w:t>
      </w:r>
      <w:r w:rsidR="00906FAE">
        <w:t xml:space="preserve">egional de </w:t>
      </w:r>
      <w:r w:rsidR="00911A14">
        <w:t>D</w:t>
      </w:r>
      <w:r w:rsidR="00906FAE">
        <w:t xml:space="preserve">efesa </w:t>
      </w:r>
      <w:r w:rsidR="00911A14">
        <w:t>C</w:t>
      </w:r>
      <w:r w:rsidR="00906FAE">
        <w:t xml:space="preserve">ivil, a qual é integrada aos Grupamentos de Bombeiro do Estado. Ao todo, são 18 regionais que dividem o Estado. </w:t>
      </w:r>
    </w:p>
    <w:p w:rsidR="00906FAE" w:rsidRDefault="00906FAE" w:rsidP="00EC6A5A">
      <w:pPr>
        <w:spacing w:after="0"/>
        <w:jc w:val="both"/>
        <w:rPr>
          <w:u w:val="single"/>
        </w:rPr>
      </w:pPr>
    </w:p>
    <w:p w:rsidR="001F651B" w:rsidRDefault="001F651B" w:rsidP="00EC6A5A">
      <w:pPr>
        <w:spacing w:after="0"/>
        <w:jc w:val="both"/>
        <w:rPr>
          <w:i/>
        </w:rPr>
      </w:pPr>
      <w:r w:rsidRPr="008931D3">
        <w:rPr>
          <w:b/>
          <w:i/>
          <w:u w:val="single"/>
        </w:rPr>
        <w:t>Atividade 4.3</w:t>
      </w:r>
      <w:r w:rsidRPr="00906FAE">
        <w:rPr>
          <w:i/>
        </w:rPr>
        <w:t>: Capacitação do pessoal dos NAPP</w:t>
      </w:r>
      <w:r w:rsidR="008931D3">
        <w:rPr>
          <w:i/>
        </w:rPr>
        <w:t>.</w:t>
      </w:r>
    </w:p>
    <w:p w:rsidR="008931D3" w:rsidRPr="008931D3" w:rsidRDefault="008931D3" w:rsidP="008931D3">
      <w:pPr>
        <w:spacing w:after="0"/>
        <w:jc w:val="both"/>
        <w:rPr>
          <w:b/>
        </w:rPr>
      </w:pPr>
      <w:r w:rsidRPr="008931D3">
        <w:t xml:space="preserve">Status: </w:t>
      </w:r>
      <w:r w:rsidRPr="008931D3">
        <w:rPr>
          <w:b/>
        </w:rPr>
        <w:t>não iniciado.</w:t>
      </w:r>
    </w:p>
    <w:p w:rsidR="008931D3" w:rsidRPr="008931D3" w:rsidRDefault="008931D3" w:rsidP="008931D3">
      <w:pPr>
        <w:spacing w:after="0"/>
        <w:jc w:val="both"/>
      </w:pPr>
      <w:r w:rsidRPr="008931D3">
        <w:t xml:space="preserve">Previsão de conclusão: </w:t>
      </w:r>
      <w:r w:rsidR="008E5BAC">
        <w:rPr>
          <w:b/>
          <w:i/>
        </w:rPr>
        <w:t>31</w:t>
      </w:r>
      <w:r w:rsidRPr="008931D3">
        <w:rPr>
          <w:b/>
          <w:i/>
        </w:rPr>
        <w:t>/</w:t>
      </w:r>
      <w:r w:rsidR="008E5BAC">
        <w:rPr>
          <w:b/>
          <w:i/>
        </w:rPr>
        <w:t>03/2020</w:t>
      </w:r>
      <w:r w:rsidRPr="008931D3">
        <w:rPr>
          <w:b/>
          <w:i/>
        </w:rPr>
        <w:t>.</w:t>
      </w:r>
    </w:p>
    <w:p w:rsidR="008931D3" w:rsidRPr="008931D3" w:rsidRDefault="008931D3" w:rsidP="00EC6A5A">
      <w:pPr>
        <w:spacing w:after="0"/>
        <w:jc w:val="both"/>
        <w:rPr>
          <w:u w:val="single"/>
        </w:rPr>
      </w:pPr>
      <w:r w:rsidRPr="008931D3">
        <w:rPr>
          <w:u w:val="single"/>
        </w:rPr>
        <w:t xml:space="preserve">Justificativa: </w:t>
      </w:r>
    </w:p>
    <w:p w:rsidR="00906FAE" w:rsidRDefault="009033D5" w:rsidP="00EC6A5A">
      <w:pPr>
        <w:spacing w:after="0"/>
        <w:jc w:val="both"/>
      </w:pPr>
      <w:r w:rsidRPr="009033D5">
        <w:t xml:space="preserve">A capacitação deverá ocorrer após </w:t>
      </w:r>
      <w:r w:rsidR="00942CB2">
        <w:t>o recebimento dos materiais e a definição dos instrutores.</w:t>
      </w:r>
    </w:p>
    <w:p w:rsidR="00942CB2" w:rsidRPr="008931D3" w:rsidRDefault="00942CB2" w:rsidP="00EC6A5A">
      <w:pPr>
        <w:spacing w:after="0"/>
        <w:jc w:val="both"/>
        <w:rPr>
          <w:b/>
          <w:u w:val="single"/>
        </w:rPr>
      </w:pPr>
    </w:p>
    <w:p w:rsidR="001F651B" w:rsidRPr="00942CB2" w:rsidRDefault="001F651B" w:rsidP="00EC6A5A">
      <w:pPr>
        <w:spacing w:after="0"/>
        <w:jc w:val="both"/>
        <w:rPr>
          <w:i/>
        </w:rPr>
      </w:pPr>
      <w:r w:rsidRPr="008931D3">
        <w:rPr>
          <w:b/>
          <w:i/>
          <w:u w:val="single"/>
        </w:rPr>
        <w:t>Atividade 4.4</w:t>
      </w:r>
      <w:r w:rsidRPr="00942CB2">
        <w:rPr>
          <w:i/>
        </w:rPr>
        <w:t>: Capacitação das demais instituições da CEP2R2</w:t>
      </w:r>
    </w:p>
    <w:p w:rsidR="008931D3" w:rsidRPr="008931D3" w:rsidRDefault="008931D3" w:rsidP="008931D3">
      <w:pPr>
        <w:spacing w:after="0"/>
        <w:jc w:val="both"/>
        <w:rPr>
          <w:b/>
        </w:rPr>
      </w:pPr>
      <w:r w:rsidRPr="008931D3">
        <w:t xml:space="preserve">Status: </w:t>
      </w:r>
      <w:r w:rsidRPr="008931D3">
        <w:rPr>
          <w:b/>
        </w:rPr>
        <w:t>não iniciado.</w:t>
      </w:r>
    </w:p>
    <w:p w:rsidR="008931D3" w:rsidRPr="008931D3" w:rsidRDefault="008931D3" w:rsidP="008931D3">
      <w:pPr>
        <w:spacing w:after="0"/>
        <w:jc w:val="both"/>
      </w:pPr>
      <w:r w:rsidRPr="008931D3">
        <w:t xml:space="preserve">Previsão de conclusão: </w:t>
      </w:r>
      <w:r w:rsidRPr="008931D3">
        <w:rPr>
          <w:b/>
          <w:i/>
        </w:rPr>
        <w:t>30/0</w:t>
      </w:r>
      <w:r w:rsidR="008E5BAC">
        <w:rPr>
          <w:b/>
          <w:i/>
        </w:rPr>
        <w:t>4</w:t>
      </w:r>
      <w:r w:rsidRPr="008931D3">
        <w:rPr>
          <w:b/>
          <w:i/>
        </w:rPr>
        <w:t>/2020.</w:t>
      </w:r>
    </w:p>
    <w:p w:rsidR="008931D3" w:rsidRDefault="008931D3" w:rsidP="00EC6A5A">
      <w:pPr>
        <w:spacing w:after="0"/>
        <w:jc w:val="both"/>
      </w:pPr>
      <w:r w:rsidRPr="008931D3">
        <w:rPr>
          <w:u w:val="single"/>
        </w:rPr>
        <w:t>Justificativa</w:t>
      </w:r>
      <w:r w:rsidR="008E5BAC">
        <w:t>:</w:t>
      </w:r>
    </w:p>
    <w:p w:rsidR="00942CB2" w:rsidRDefault="00942CB2" w:rsidP="00EC6A5A">
      <w:pPr>
        <w:spacing w:after="0"/>
        <w:jc w:val="both"/>
      </w:pPr>
      <w:r w:rsidRPr="009033D5">
        <w:t xml:space="preserve">A capacitação deverá ocorrer após </w:t>
      </w:r>
      <w:r>
        <w:t>o recebimento dos materiais e a definição dos instrutores.</w:t>
      </w:r>
    </w:p>
    <w:p w:rsidR="001F651B" w:rsidRDefault="001F651B" w:rsidP="00EC6A5A">
      <w:pPr>
        <w:spacing w:after="0"/>
        <w:jc w:val="both"/>
      </w:pPr>
    </w:p>
    <w:p w:rsidR="008931D3" w:rsidRDefault="008931D3" w:rsidP="00EC6A5A">
      <w:pPr>
        <w:spacing w:after="0"/>
        <w:jc w:val="both"/>
        <w:rPr>
          <w:b/>
        </w:rPr>
      </w:pPr>
    </w:p>
    <w:p w:rsidR="00817C9D" w:rsidRPr="008931D3" w:rsidRDefault="00817C9D" w:rsidP="008931D3">
      <w:pPr>
        <w:spacing w:after="0"/>
        <w:jc w:val="center"/>
        <w:rPr>
          <w:b/>
          <w:u w:val="single"/>
        </w:rPr>
      </w:pPr>
      <w:r w:rsidRPr="008931D3">
        <w:rPr>
          <w:b/>
          <w:u w:val="single"/>
        </w:rPr>
        <w:t xml:space="preserve">META 5 – Definição dos </w:t>
      </w:r>
      <w:proofErr w:type="spellStart"/>
      <w:r w:rsidRPr="008931D3">
        <w:rPr>
          <w:b/>
          <w:u w:val="single"/>
        </w:rPr>
        <w:t>NAPPs</w:t>
      </w:r>
      <w:proofErr w:type="spellEnd"/>
      <w:r w:rsidRPr="008931D3">
        <w:rPr>
          <w:b/>
          <w:u w:val="single"/>
        </w:rPr>
        <w:t xml:space="preserve"> e Elaboração de Estudos</w:t>
      </w:r>
    </w:p>
    <w:p w:rsidR="008931D3" w:rsidRPr="001F651B" w:rsidRDefault="008931D3" w:rsidP="008931D3">
      <w:pPr>
        <w:spacing w:after="0"/>
        <w:jc w:val="center"/>
        <w:rPr>
          <w:b/>
        </w:rPr>
      </w:pPr>
    </w:p>
    <w:p w:rsidR="00817C9D" w:rsidRDefault="00817C9D" w:rsidP="00EC6A5A">
      <w:pPr>
        <w:spacing w:after="0"/>
        <w:jc w:val="both"/>
      </w:pPr>
      <w:r>
        <w:t>Valor previsto: 600.000,00</w:t>
      </w:r>
    </w:p>
    <w:p w:rsidR="008931D3" w:rsidRDefault="008931D3" w:rsidP="008931D3">
      <w:pPr>
        <w:spacing w:after="0"/>
        <w:jc w:val="both"/>
      </w:pPr>
      <w:r>
        <w:t>Recurso gasto: R$ 0,00.</w:t>
      </w:r>
    </w:p>
    <w:p w:rsidR="00817C9D" w:rsidRDefault="00817C9D" w:rsidP="00EC6A5A">
      <w:pPr>
        <w:spacing w:after="0"/>
        <w:jc w:val="both"/>
      </w:pPr>
    </w:p>
    <w:p w:rsidR="001F651B" w:rsidRDefault="001F651B" w:rsidP="00EC6A5A">
      <w:pPr>
        <w:spacing w:after="0"/>
        <w:jc w:val="both"/>
      </w:pPr>
      <w:r w:rsidRPr="008931D3">
        <w:rPr>
          <w:b/>
          <w:u w:val="single"/>
        </w:rPr>
        <w:t>Etapa 5.1</w:t>
      </w:r>
      <w:r w:rsidRPr="008931D3">
        <w:rPr>
          <w:b/>
        </w:rPr>
        <w:t>:</w:t>
      </w:r>
      <w:r>
        <w:t xml:space="preserve"> Definição dos 5 NAPP</w:t>
      </w:r>
      <w:r w:rsidR="008931D3">
        <w:t>.</w:t>
      </w:r>
      <w:r w:rsidR="00316E18">
        <w:t xml:space="preserve"> </w:t>
      </w:r>
    </w:p>
    <w:p w:rsidR="008931D3" w:rsidRPr="008931D3" w:rsidRDefault="008931D3" w:rsidP="008931D3">
      <w:pPr>
        <w:spacing w:after="0"/>
        <w:jc w:val="both"/>
        <w:rPr>
          <w:b/>
        </w:rPr>
      </w:pPr>
      <w:r w:rsidRPr="008931D3">
        <w:t xml:space="preserve">Status: </w:t>
      </w:r>
      <w:r w:rsidR="009C2C76">
        <w:rPr>
          <w:b/>
        </w:rPr>
        <w:t>em andamento</w:t>
      </w:r>
      <w:r w:rsidRPr="008931D3">
        <w:rPr>
          <w:b/>
        </w:rPr>
        <w:t>.</w:t>
      </w:r>
    </w:p>
    <w:p w:rsidR="008931D3" w:rsidRPr="008931D3" w:rsidRDefault="008931D3" w:rsidP="008931D3">
      <w:pPr>
        <w:spacing w:after="0"/>
        <w:jc w:val="both"/>
      </w:pPr>
      <w:r w:rsidRPr="008931D3">
        <w:lastRenderedPageBreak/>
        <w:t xml:space="preserve">Previsão de conclusão: </w:t>
      </w:r>
      <w:r w:rsidRPr="008931D3">
        <w:rPr>
          <w:b/>
          <w:i/>
        </w:rPr>
        <w:t>30/06/2020.</w:t>
      </w:r>
    </w:p>
    <w:p w:rsidR="008931D3" w:rsidRDefault="008931D3" w:rsidP="00EC6A5A">
      <w:pPr>
        <w:spacing w:after="0"/>
        <w:jc w:val="both"/>
      </w:pPr>
      <w:r w:rsidRPr="008931D3">
        <w:rPr>
          <w:u w:val="single"/>
        </w:rPr>
        <w:t>Justificativa</w:t>
      </w:r>
      <w:r>
        <w:t>:</w:t>
      </w:r>
    </w:p>
    <w:p w:rsidR="00316E18" w:rsidRDefault="009C2C76" w:rsidP="00EC6A5A">
      <w:pPr>
        <w:spacing w:after="0"/>
        <w:jc w:val="both"/>
      </w:pPr>
      <w:r>
        <w:t xml:space="preserve">Os NAPP são vinculados aos locais de instalação das bacias de contenção, indicados inicialmente pela empresa de saneamento do Estado do Paraná como sendo críticos pontos em Curitiba, Mauá da Serra, Telêmaco Borba, Cascavel e Guarapuava. A instalação deverá ser monitorada. </w:t>
      </w:r>
    </w:p>
    <w:p w:rsidR="00316E18" w:rsidRDefault="00316E18" w:rsidP="00EC6A5A">
      <w:pPr>
        <w:spacing w:after="0"/>
        <w:jc w:val="both"/>
      </w:pPr>
    </w:p>
    <w:p w:rsidR="001F651B" w:rsidRDefault="001F651B" w:rsidP="00EC6A5A">
      <w:pPr>
        <w:spacing w:after="0"/>
        <w:jc w:val="both"/>
        <w:rPr>
          <w:b/>
        </w:rPr>
      </w:pPr>
      <w:r w:rsidRPr="008931D3">
        <w:rPr>
          <w:b/>
          <w:u w:val="single"/>
        </w:rPr>
        <w:t>Etapa 5.2</w:t>
      </w:r>
      <w:r>
        <w:t>: Definição dos gestores dos NAPP</w:t>
      </w:r>
      <w:r w:rsidR="008931D3">
        <w:t>.</w:t>
      </w:r>
    </w:p>
    <w:p w:rsidR="008931D3" w:rsidRPr="008931D3" w:rsidRDefault="008931D3" w:rsidP="008931D3">
      <w:pPr>
        <w:spacing w:after="0"/>
        <w:jc w:val="both"/>
        <w:rPr>
          <w:b/>
        </w:rPr>
      </w:pPr>
      <w:r w:rsidRPr="008931D3">
        <w:t xml:space="preserve">Status: </w:t>
      </w:r>
      <w:r w:rsidRPr="008931D3">
        <w:rPr>
          <w:b/>
        </w:rPr>
        <w:t>não iniciado.</w:t>
      </w:r>
    </w:p>
    <w:p w:rsidR="008931D3" w:rsidRPr="008931D3" w:rsidRDefault="008931D3" w:rsidP="008931D3">
      <w:pPr>
        <w:spacing w:after="0"/>
        <w:jc w:val="both"/>
      </w:pPr>
      <w:r w:rsidRPr="008931D3">
        <w:t xml:space="preserve">Previsão de conclusão: </w:t>
      </w:r>
      <w:r w:rsidR="009C2C76">
        <w:rPr>
          <w:b/>
          <w:i/>
        </w:rPr>
        <w:t>31/03</w:t>
      </w:r>
      <w:r w:rsidRPr="008931D3">
        <w:rPr>
          <w:b/>
          <w:i/>
        </w:rPr>
        <w:t>/2020.</w:t>
      </w:r>
    </w:p>
    <w:p w:rsidR="008931D3" w:rsidRDefault="008931D3" w:rsidP="00EC6A5A">
      <w:pPr>
        <w:spacing w:after="0"/>
        <w:jc w:val="both"/>
      </w:pPr>
      <w:r w:rsidRPr="008931D3">
        <w:rPr>
          <w:u w:val="single"/>
        </w:rPr>
        <w:t>Justificativa</w:t>
      </w:r>
      <w:r>
        <w:t>:</w:t>
      </w:r>
    </w:p>
    <w:p w:rsidR="00942CB2" w:rsidRDefault="00942CB2" w:rsidP="00EC6A5A">
      <w:pPr>
        <w:spacing w:after="0"/>
        <w:jc w:val="both"/>
      </w:pPr>
      <w:r>
        <w:t xml:space="preserve">Os gestores do NAPP </w:t>
      </w:r>
      <w:r w:rsidR="009C2C76">
        <w:t xml:space="preserve">serão definidos </w:t>
      </w:r>
      <w:r w:rsidR="00BA5BD0">
        <w:t xml:space="preserve">juntamente com o processo de capacitação, de maneira que possíveis movimentações de pessoal não impactem no planejamento. </w:t>
      </w:r>
    </w:p>
    <w:p w:rsidR="00942CB2" w:rsidRDefault="00942CB2" w:rsidP="00EC6A5A">
      <w:pPr>
        <w:spacing w:after="0"/>
        <w:jc w:val="both"/>
      </w:pPr>
    </w:p>
    <w:p w:rsidR="00BA5BD0" w:rsidRDefault="001F651B" w:rsidP="00EC6A5A">
      <w:pPr>
        <w:spacing w:after="0"/>
        <w:jc w:val="both"/>
        <w:rPr>
          <w:i/>
        </w:rPr>
      </w:pPr>
      <w:r w:rsidRPr="008931D3">
        <w:rPr>
          <w:b/>
          <w:i/>
          <w:u w:val="single"/>
        </w:rPr>
        <w:t>Etapa 5.3</w:t>
      </w:r>
      <w:r w:rsidRPr="00942CB2">
        <w:rPr>
          <w:i/>
        </w:rPr>
        <w:t>: Estudos de medidas mitigadoras com acidentes com produtos perigosos</w:t>
      </w:r>
      <w:r w:rsidR="00BA5BD0">
        <w:rPr>
          <w:i/>
        </w:rPr>
        <w:t>.</w:t>
      </w:r>
    </w:p>
    <w:p w:rsidR="00BA5BD0" w:rsidRPr="008931D3" w:rsidRDefault="00BA5BD0" w:rsidP="00BA5BD0">
      <w:pPr>
        <w:spacing w:after="0"/>
        <w:jc w:val="both"/>
        <w:rPr>
          <w:b/>
        </w:rPr>
      </w:pPr>
      <w:r w:rsidRPr="008931D3">
        <w:t xml:space="preserve">Status: </w:t>
      </w:r>
      <w:r>
        <w:rPr>
          <w:b/>
        </w:rPr>
        <w:t>concluído</w:t>
      </w:r>
      <w:r w:rsidRPr="008931D3">
        <w:rPr>
          <w:b/>
        </w:rPr>
        <w:t>.</w:t>
      </w:r>
    </w:p>
    <w:p w:rsidR="00BA5BD0" w:rsidRPr="00BA5BD0" w:rsidRDefault="00BA5BD0" w:rsidP="00EC6A5A">
      <w:pPr>
        <w:spacing w:after="0"/>
        <w:jc w:val="both"/>
        <w:rPr>
          <w:u w:val="single"/>
        </w:rPr>
      </w:pPr>
      <w:r w:rsidRPr="00BA5BD0">
        <w:rPr>
          <w:u w:val="single"/>
        </w:rPr>
        <w:t>Justificativa:</w:t>
      </w:r>
    </w:p>
    <w:p w:rsidR="00817C9D" w:rsidRDefault="005610D5" w:rsidP="00EC6A5A">
      <w:pPr>
        <w:spacing w:after="0"/>
        <w:jc w:val="both"/>
      </w:pPr>
      <w:r>
        <w:t xml:space="preserve">As </w:t>
      </w:r>
      <w:r w:rsidR="00942CB2">
        <w:t>medidas mitigadoras contra acidentes com pro</w:t>
      </w:r>
      <w:r>
        <w:t>dutos perigosos vê</w:t>
      </w:r>
      <w:r w:rsidR="00942CB2">
        <w:t xml:space="preserve">m sendo </w:t>
      </w:r>
      <w:r w:rsidR="00BA5BD0">
        <w:t>discutidas</w:t>
      </w:r>
      <w:r w:rsidR="00942CB2">
        <w:t xml:space="preserve"> pelos </w:t>
      </w:r>
      <w:r w:rsidR="00046B86">
        <w:t xml:space="preserve">integrantes da CEP2R2-PR, tendo sido utilizado como estudo de caso o acidente ocorrido na BR 277, km 33, em 2016, em que um caminhão que transportava etanol em tanque a granel tombou, invadindo a pista contrária, incendiando-se e atingindo 12 veículos de passeio e causando o óbito de 12 óbitos, além de feridos na situação. Com isso em foco, foram estabelecidos parâmetros consequenciais e medidas mitigadoras para estes parâmetros que foram avaliadas sequencialmente nas reuniões subsequentes, passando de medidas a curto prazo para médio e longo prazo na sequência. </w:t>
      </w:r>
      <w:r w:rsidR="00BA5BD0">
        <w:t>H</w:t>
      </w:r>
      <w:r w:rsidR="00046B86">
        <w:t xml:space="preserve">ouve </w:t>
      </w:r>
      <w:r w:rsidR="00BA5BD0">
        <w:t>a</w:t>
      </w:r>
      <w:r w:rsidR="00046B86">
        <w:t xml:space="preserve"> produção de </w:t>
      </w:r>
      <w:r w:rsidR="00BA5BD0">
        <w:t>dois Comunicados Técnico</w:t>
      </w:r>
      <w:r w:rsidR="00046B86">
        <w:t>s</w:t>
      </w:r>
      <w:r w:rsidR="00BA5BD0">
        <w:t xml:space="preserve"> abordando as medidas a serem tomadas</w:t>
      </w:r>
      <w:r w:rsidR="00046B86">
        <w:t xml:space="preserve">, </w:t>
      </w:r>
      <w:r w:rsidR="00BA5BD0">
        <w:t>que foram também enviadas a órgãos afetos à implementação das medidas, como meio de motivar a sua implantação.</w:t>
      </w:r>
      <w:r w:rsidR="00046B86">
        <w:t xml:space="preserve"> </w:t>
      </w:r>
    </w:p>
    <w:p w:rsidR="00EC6A5A" w:rsidRDefault="00EC6A5A">
      <w:pPr>
        <w:spacing w:after="0"/>
        <w:jc w:val="both"/>
      </w:pPr>
    </w:p>
    <w:p w:rsidR="008931D3" w:rsidRDefault="008931D3">
      <w:pPr>
        <w:spacing w:after="0"/>
        <w:jc w:val="both"/>
      </w:pPr>
    </w:p>
    <w:p w:rsidR="00A321B3" w:rsidRDefault="00A321B3" w:rsidP="00A321B3">
      <w:pPr>
        <w:rPr>
          <w:color w:val="FF0000"/>
          <w:sz w:val="20"/>
        </w:rPr>
        <w:sectPr w:rsidR="00A321B3" w:rsidSect="00FC0A4F">
          <w:pgSz w:w="11906" w:h="16838"/>
          <w:pgMar w:top="1417" w:right="1701" w:bottom="1417" w:left="1701" w:header="708" w:footer="708" w:gutter="0"/>
          <w:cols w:space="708"/>
          <w:docGrid w:linePitch="360"/>
        </w:sectPr>
      </w:pPr>
    </w:p>
    <w:p w:rsidR="00A321B3" w:rsidRPr="00981260" w:rsidRDefault="00A321B3" w:rsidP="00981260">
      <w:pPr>
        <w:jc w:val="center"/>
        <w:rPr>
          <w:sz w:val="20"/>
        </w:rPr>
      </w:pPr>
      <w:r w:rsidRPr="00981260">
        <w:rPr>
          <w:sz w:val="20"/>
        </w:rPr>
        <w:lastRenderedPageBreak/>
        <w:t>TABELA 2: Quadro de metas e atividades.</w:t>
      </w:r>
    </w:p>
    <w:tbl>
      <w:tblPr>
        <w:tblW w:w="13678" w:type="dxa"/>
        <w:tblCellMar>
          <w:left w:w="70" w:type="dxa"/>
          <w:right w:w="70" w:type="dxa"/>
        </w:tblCellMar>
        <w:tblLook w:val="04A0" w:firstRow="1" w:lastRow="0" w:firstColumn="1" w:lastColumn="0" w:noHBand="0" w:noVBand="1"/>
      </w:tblPr>
      <w:tblGrid>
        <w:gridCol w:w="572"/>
        <w:gridCol w:w="2192"/>
        <w:gridCol w:w="3543"/>
        <w:gridCol w:w="1701"/>
        <w:gridCol w:w="1701"/>
        <w:gridCol w:w="3969"/>
      </w:tblGrid>
      <w:tr w:rsidR="00694004" w:rsidRPr="00A321B3" w:rsidTr="00694004">
        <w:trPr>
          <w:trHeight w:val="456"/>
        </w:trPr>
        <w:tc>
          <w:tcPr>
            <w:tcW w:w="572"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b/>
                <w:bCs/>
                <w:color w:val="000000"/>
                <w:sz w:val="16"/>
                <w:szCs w:val="16"/>
                <w:lang w:eastAsia="pt-BR"/>
              </w:rPr>
            </w:pPr>
            <w:r w:rsidRPr="00A321B3">
              <w:rPr>
                <w:rFonts w:ascii="Calibri" w:eastAsia="Times New Roman" w:hAnsi="Calibri" w:cs="Calibri"/>
                <w:b/>
                <w:bCs/>
                <w:color w:val="000000"/>
                <w:sz w:val="16"/>
                <w:szCs w:val="16"/>
                <w:lang w:eastAsia="pt-BR"/>
              </w:rPr>
              <w:t>META</w:t>
            </w:r>
          </w:p>
        </w:tc>
        <w:tc>
          <w:tcPr>
            <w:tcW w:w="2192" w:type="dxa"/>
            <w:tcBorders>
              <w:top w:val="single" w:sz="4" w:space="0" w:color="auto"/>
              <w:left w:val="nil"/>
              <w:bottom w:val="single" w:sz="4" w:space="0" w:color="auto"/>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b/>
                <w:bCs/>
                <w:color w:val="000000"/>
                <w:sz w:val="16"/>
                <w:szCs w:val="16"/>
                <w:lang w:eastAsia="pt-BR"/>
              </w:rPr>
            </w:pPr>
            <w:r w:rsidRPr="00A321B3">
              <w:rPr>
                <w:rFonts w:ascii="Calibri" w:eastAsia="Times New Roman" w:hAnsi="Calibri" w:cs="Calibri"/>
                <w:b/>
                <w:bCs/>
                <w:color w:val="000000"/>
                <w:sz w:val="16"/>
                <w:szCs w:val="16"/>
                <w:lang w:eastAsia="pt-BR"/>
              </w:rPr>
              <w:t>Meta - ações</w:t>
            </w:r>
          </w:p>
        </w:tc>
        <w:tc>
          <w:tcPr>
            <w:tcW w:w="3543" w:type="dxa"/>
            <w:tcBorders>
              <w:top w:val="single" w:sz="4" w:space="0" w:color="auto"/>
              <w:left w:val="nil"/>
              <w:bottom w:val="single" w:sz="4" w:space="0" w:color="auto"/>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b/>
                <w:bCs/>
                <w:color w:val="000000"/>
                <w:sz w:val="16"/>
                <w:szCs w:val="16"/>
                <w:lang w:eastAsia="pt-BR"/>
              </w:rPr>
            </w:pPr>
            <w:r w:rsidRPr="00A321B3">
              <w:rPr>
                <w:rFonts w:ascii="Calibri" w:eastAsia="Times New Roman" w:hAnsi="Calibri" w:cs="Calibri"/>
                <w:b/>
                <w:bCs/>
                <w:color w:val="000000"/>
                <w:sz w:val="16"/>
                <w:szCs w:val="16"/>
                <w:lang w:eastAsia="pt-BR"/>
              </w:rPr>
              <w:t>Definição</w:t>
            </w:r>
          </w:p>
        </w:tc>
        <w:tc>
          <w:tcPr>
            <w:tcW w:w="1701" w:type="dxa"/>
            <w:tcBorders>
              <w:top w:val="single" w:sz="4" w:space="0" w:color="auto"/>
              <w:left w:val="nil"/>
              <w:bottom w:val="single" w:sz="4" w:space="0" w:color="auto"/>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b/>
                <w:bCs/>
                <w:color w:val="000000"/>
                <w:sz w:val="16"/>
                <w:szCs w:val="16"/>
                <w:lang w:eastAsia="pt-BR"/>
              </w:rPr>
            </w:pPr>
            <w:r w:rsidRPr="00A321B3">
              <w:rPr>
                <w:rFonts w:ascii="Calibri" w:eastAsia="Times New Roman" w:hAnsi="Calibri" w:cs="Calibri"/>
                <w:b/>
                <w:bCs/>
                <w:color w:val="000000"/>
                <w:sz w:val="16"/>
                <w:szCs w:val="16"/>
                <w:lang w:eastAsia="pt-BR"/>
              </w:rPr>
              <w:t>Valor total na meta</w:t>
            </w:r>
          </w:p>
        </w:tc>
        <w:tc>
          <w:tcPr>
            <w:tcW w:w="1701" w:type="dxa"/>
            <w:tcBorders>
              <w:top w:val="single" w:sz="4" w:space="0" w:color="auto"/>
              <w:left w:val="nil"/>
              <w:bottom w:val="single" w:sz="4" w:space="0" w:color="auto"/>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b/>
                <w:bCs/>
                <w:color w:val="000000"/>
                <w:sz w:val="16"/>
                <w:szCs w:val="16"/>
                <w:lang w:eastAsia="pt-BR"/>
              </w:rPr>
            </w:pPr>
            <w:r w:rsidRPr="00A321B3">
              <w:rPr>
                <w:rFonts w:ascii="Calibri" w:eastAsia="Times New Roman" w:hAnsi="Calibri" w:cs="Calibri"/>
                <w:b/>
                <w:bCs/>
                <w:color w:val="000000"/>
                <w:sz w:val="16"/>
                <w:szCs w:val="16"/>
                <w:lang w:eastAsia="pt-BR"/>
              </w:rPr>
              <w:t>Status</w:t>
            </w:r>
          </w:p>
        </w:tc>
        <w:tc>
          <w:tcPr>
            <w:tcW w:w="3969" w:type="dxa"/>
            <w:tcBorders>
              <w:top w:val="single" w:sz="4" w:space="0" w:color="auto"/>
              <w:left w:val="nil"/>
              <w:bottom w:val="single" w:sz="4" w:space="0" w:color="auto"/>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b/>
                <w:bCs/>
                <w:color w:val="000000"/>
                <w:sz w:val="16"/>
                <w:szCs w:val="16"/>
                <w:lang w:eastAsia="pt-BR"/>
              </w:rPr>
            </w:pPr>
            <w:r w:rsidRPr="00A321B3">
              <w:rPr>
                <w:rFonts w:ascii="Calibri" w:eastAsia="Times New Roman" w:hAnsi="Calibri" w:cs="Calibri"/>
                <w:b/>
                <w:bCs/>
                <w:color w:val="000000"/>
                <w:sz w:val="16"/>
                <w:szCs w:val="16"/>
                <w:lang w:eastAsia="pt-BR"/>
              </w:rPr>
              <w:t>Justificativa</w:t>
            </w:r>
          </w:p>
        </w:tc>
      </w:tr>
      <w:tr w:rsidR="00694004" w:rsidRPr="00A321B3" w:rsidTr="00694004">
        <w:trPr>
          <w:trHeight w:val="396"/>
        </w:trPr>
        <w:tc>
          <w:tcPr>
            <w:tcW w:w="572" w:type="dxa"/>
            <w:vMerge w:val="restart"/>
            <w:tcBorders>
              <w:top w:val="nil"/>
              <w:left w:val="single" w:sz="4" w:space="0" w:color="auto"/>
              <w:bottom w:val="single" w:sz="4" w:space="0" w:color="000000"/>
              <w:right w:val="single" w:sz="4" w:space="0" w:color="auto"/>
            </w:tcBorders>
            <w:shd w:val="clear" w:color="000000" w:fill="F2F2F2"/>
            <w:noWrap/>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1</w:t>
            </w:r>
          </w:p>
        </w:tc>
        <w:tc>
          <w:tcPr>
            <w:tcW w:w="2192" w:type="dxa"/>
            <w:vMerge w:val="restart"/>
            <w:tcBorders>
              <w:top w:val="nil"/>
              <w:left w:val="single" w:sz="4" w:space="0" w:color="auto"/>
              <w:bottom w:val="single" w:sz="4" w:space="0" w:color="000000"/>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Otimização da Capacidade de monitoramento Ambiental</w:t>
            </w:r>
          </w:p>
        </w:tc>
        <w:tc>
          <w:tcPr>
            <w:tcW w:w="3543" w:type="dxa"/>
            <w:vMerge w:val="restart"/>
            <w:tcBorders>
              <w:top w:val="nil"/>
              <w:left w:val="single" w:sz="4" w:space="0" w:color="auto"/>
              <w:bottom w:val="single" w:sz="4" w:space="0" w:color="000000"/>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Equipagem do laboratório de análise de amostras de solo e água para produtos perigosos IAP.</w:t>
            </w:r>
          </w:p>
        </w:tc>
        <w:tc>
          <w:tcPr>
            <w:tcW w:w="1701"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694004" w:rsidRPr="00A321B3" w:rsidRDefault="00694004" w:rsidP="00694004">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R$   692.135,00</w:t>
            </w:r>
          </w:p>
        </w:tc>
        <w:tc>
          <w:tcPr>
            <w:tcW w:w="1701" w:type="dxa"/>
            <w:vMerge w:val="restart"/>
            <w:tcBorders>
              <w:top w:val="nil"/>
              <w:left w:val="single" w:sz="4" w:space="0" w:color="auto"/>
              <w:bottom w:val="single" w:sz="4" w:space="0" w:color="auto"/>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Não iniciado</w:t>
            </w:r>
          </w:p>
        </w:tc>
        <w:tc>
          <w:tcPr>
            <w:tcW w:w="3969" w:type="dxa"/>
            <w:vMerge w:val="restart"/>
            <w:tcBorders>
              <w:top w:val="nil"/>
              <w:left w:val="single" w:sz="4" w:space="0" w:color="auto"/>
              <w:bottom w:val="single" w:sz="4" w:space="0" w:color="auto"/>
              <w:right w:val="single" w:sz="4" w:space="0" w:color="auto"/>
            </w:tcBorders>
            <w:shd w:val="clear" w:color="000000" w:fill="F2F2F2"/>
            <w:vAlign w:val="center"/>
            <w:hideMark/>
          </w:tcPr>
          <w:p w:rsidR="00694004" w:rsidRPr="00A321B3" w:rsidRDefault="00981260" w:rsidP="005A3BD2">
            <w:pPr>
              <w:spacing w:after="0" w:line="240" w:lineRule="auto"/>
              <w:jc w:val="center"/>
              <w:rPr>
                <w:rFonts w:ascii="Calibri" w:eastAsia="Times New Roman" w:hAnsi="Calibri" w:cs="Calibri"/>
                <w:color w:val="000000"/>
                <w:sz w:val="16"/>
                <w:szCs w:val="16"/>
                <w:lang w:eastAsia="pt-BR"/>
              </w:rPr>
            </w:pPr>
            <w:r>
              <w:rPr>
                <w:rFonts w:ascii="Calibri" w:eastAsia="Times New Roman" w:hAnsi="Calibri" w:cs="Calibri"/>
                <w:color w:val="000000"/>
                <w:sz w:val="16"/>
                <w:szCs w:val="16"/>
                <w:lang w:eastAsia="pt-BR"/>
              </w:rPr>
              <w:t xml:space="preserve">Está previsto para realização no terceiro desembolso. Houve a aquisição de alguns materiais que se enquadram neste convênio a partir de outro acordo com a Agência Nacional de Águas, permitindo que parte deste recurso fosse realocado. </w:t>
            </w:r>
          </w:p>
        </w:tc>
      </w:tr>
      <w:tr w:rsidR="00694004" w:rsidRPr="00A321B3" w:rsidTr="00694004">
        <w:trPr>
          <w:trHeight w:val="195"/>
        </w:trPr>
        <w:tc>
          <w:tcPr>
            <w:tcW w:w="572" w:type="dxa"/>
            <w:vMerge/>
            <w:tcBorders>
              <w:top w:val="nil"/>
              <w:left w:val="single" w:sz="4" w:space="0" w:color="auto"/>
              <w:bottom w:val="single" w:sz="4" w:space="0" w:color="000000"/>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2192" w:type="dxa"/>
            <w:vMerge/>
            <w:tcBorders>
              <w:top w:val="nil"/>
              <w:left w:val="single" w:sz="4" w:space="0" w:color="auto"/>
              <w:bottom w:val="single" w:sz="4" w:space="0" w:color="000000"/>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3543" w:type="dxa"/>
            <w:vMerge/>
            <w:tcBorders>
              <w:top w:val="nil"/>
              <w:left w:val="single" w:sz="4" w:space="0" w:color="auto"/>
              <w:bottom w:val="single" w:sz="4" w:space="0" w:color="000000"/>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1701" w:type="dxa"/>
            <w:vMerge/>
            <w:tcBorders>
              <w:top w:val="nil"/>
              <w:left w:val="single" w:sz="4" w:space="0" w:color="auto"/>
              <w:bottom w:val="single" w:sz="4" w:space="0" w:color="auto"/>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1701" w:type="dxa"/>
            <w:vMerge/>
            <w:tcBorders>
              <w:top w:val="nil"/>
              <w:left w:val="single" w:sz="4" w:space="0" w:color="auto"/>
              <w:bottom w:val="single" w:sz="4" w:space="0" w:color="auto"/>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3969" w:type="dxa"/>
            <w:vMerge/>
            <w:tcBorders>
              <w:top w:val="nil"/>
              <w:left w:val="single" w:sz="4" w:space="0" w:color="auto"/>
              <w:bottom w:val="single" w:sz="4" w:space="0" w:color="auto"/>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r>
      <w:tr w:rsidR="00694004" w:rsidRPr="00A321B3" w:rsidTr="00694004">
        <w:trPr>
          <w:trHeight w:val="1122"/>
        </w:trPr>
        <w:tc>
          <w:tcPr>
            <w:tcW w:w="572" w:type="dxa"/>
            <w:tcBorders>
              <w:top w:val="nil"/>
              <w:left w:val="single" w:sz="4" w:space="0" w:color="auto"/>
              <w:bottom w:val="single" w:sz="4" w:space="0" w:color="auto"/>
              <w:right w:val="single" w:sz="4" w:space="0" w:color="auto"/>
            </w:tcBorders>
            <w:shd w:val="clear" w:color="000000" w:fill="F2F2F2"/>
            <w:noWrap/>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2</w:t>
            </w:r>
          </w:p>
        </w:tc>
        <w:tc>
          <w:tcPr>
            <w:tcW w:w="2192" w:type="dxa"/>
            <w:tcBorders>
              <w:top w:val="nil"/>
              <w:left w:val="nil"/>
              <w:bottom w:val="single" w:sz="4" w:space="0" w:color="auto"/>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Elaboração dos protocolos padronizados de atendimento a emergência químicas</w:t>
            </w:r>
          </w:p>
        </w:tc>
        <w:tc>
          <w:tcPr>
            <w:tcW w:w="3543" w:type="dxa"/>
            <w:tcBorders>
              <w:top w:val="nil"/>
              <w:left w:val="nil"/>
              <w:bottom w:val="single" w:sz="4" w:space="0" w:color="auto"/>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Desenvolvimento dos protocolos de atendimento a emergências com produtos perigosos, estadual e regional. Homologação dos protocolos de atendimento a emergências com PP, estadual e regional.</w:t>
            </w:r>
          </w:p>
        </w:tc>
        <w:tc>
          <w:tcPr>
            <w:tcW w:w="1701" w:type="dxa"/>
            <w:tcBorders>
              <w:top w:val="nil"/>
              <w:left w:val="nil"/>
              <w:bottom w:val="single" w:sz="4" w:space="0" w:color="auto"/>
              <w:right w:val="single" w:sz="4" w:space="0" w:color="auto"/>
            </w:tcBorders>
            <w:shd w:val="clear" w:color="000000" w:fill="F2F2F2"/>
            <w:noWrap/>
            <w:vAlign w:val="center"/>
            <w:hideMark/>
          </w:tcPr>
          <w:p w:rsidR="00694004" w:rsidRPr="00A321B3" w:rsidRDefault="00694004" w:rsidP="00694004">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R$</w:t>
            </w:r>
            <w:r>
              <w:rPr>
                <w:rFonts w:ascii="Calibri" w:eastAsia="Times New Roman" w:hAnsi="Calibri" w:cs="Calibri"/>
                <w:color w:val="000000"/>
                <w:sz w:val="16"/>
                <w:szCs w:val="16"/>
                <w:lang w:eastAsia="pt-BR"/>
              </w:rPr>
              <w:t xml:space="preserve"> </w:t>
            </w:r>
            <w:r w:rsidRPr="00A321B3">
              <w:rPr>
                <w:rFonts w:ascii="Calibri" w:eastAsia="Times New Roman" w:hAnsi="Calibri" w:cs="Calibri"/>
                <w:color w:val="000000"/>
                <w:sz w:val="16"/>
                <w:szCs w:val="16"/>
                <w:lang w:eastAsia="pt-BR"/>
              </w:rPr>
              <w:t xml:space="preserve">4.500,00 </w:t>
            </w:r>
          </w:p>
        </w:tc>
        <w:tc>
          <w:tcPr>
            <w:tcW w:w="1701" w:type="dxa"/>
            <w:tcBorders>
              <w:top w:val="nil"/>
              <w:left w:val="nil"/>
              <w:bottom w:val="single" w:sz="4" w:space="0" w:color="auto"/>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Concluído</w:t>
            </w:r>
          </w:p>
        </w:tc>
        <w:tc>
          <w:tcPr>
            <w:tcW w:w="3969" w:type="dxa"/>
            <w:tcBorders>
              <w:top w:val="nil"/>
              <w:left w:val="nil"/>
              <w:bottom w:val="single" w:sz="4" w:space="0" w:color="auto"/>
              <w:right w:val="single" w:sz="4" w:space="0" w:color="auto"/>
            </w:tcBorders>
            <w:shd w:val="clear" w:color="000000" w:fill="F2F2F2"/>
            <w:vAlign w:val="center"/>
            <w:hideMark/>
          </w:tcPr>
          <w:p w:rsidR="00694004" w:rsidRPr="00A321B3" w:rsidRDefault="00981260" w:rsidP="005A3BD2">
            <w:pPr>
              <w:spacing w:after="0" w:line="240" w:lineRule="auto"/>
              <w:jc w:val="center"/>
              <w:rPr>
                <w:rFonts w:ascii="Calibri" w:eastAsia="Times New Roman" w:hAnsi="Calibri" w:cs="Calibri"/>
                <w:color w:val="000000"/>
                <w:sz w:val="16"/>
                <w:szCs w:val="16"/>
                <w:lang w:eastAsia="pt-BR"/>
              </w:rPr>
            </w:pPr>
            <w:r>
              <w:rPr>
                <w:rFonts w:ascii="Calibri" w:eastAsia="Times New Roman" w:hAnsi="Calibri" w:cs="Calibri"/>
                <w:color w:val="000000"/>
                <w:sz w:val="16"/>
                <w:szCs w:val="16"/>
                <w:lang w:eastAsia="pt-BR"/>
              </w:rPr>
              <w:t>Finalizado. Haverá uma nova revisão do Plano em 2019. O Plano está disponível na página da Defesa Civil Estadual do Paraná.</w:t>
            </w:r>
          </w:p>
        </w:tc>
      </w:tr>
      <w:tr w:rsidR="00694004" w:rsidRPr="00A321B3" w:rsidTr="00694004">
        <w:trPr>
          <w:trHeight w:val="638"/>
        </w:trPr>
        <w:tc>
          <w:tcPr>
            <w:tcW w:w="572" w:type="dxa"/>
            <w:tcBorders>
              <w:top w:val="nil"/>
              <w:left w:val="single" w:sz="4" w:space="0" w:color="auto"/>
              <w:bottom w:val="single" w:sz="4" w:space="0" w:color="auto"/>
              <w:right w:val="single" w:sz="4" w:space="0" w:color="auto"/>
            </w:tcBorders>
            <w:shd w:val="clear" w:color="000000" w:fill="F2F2F2"/>
            <w:noWrap/>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3</w:t>
            </w:r>
          </w:p>
        </w:tc>
        <w:tc>
          <w:tcPr>
            <w:tcW w:w="2192" w:type="dxa"/>
            <w:tcBorders>
              <w:top w:val="nil"/>
              <w:left w:val="nil"/>
              <w:bottom w:val="single" w:sz="4" w:space="0" w:color="auto"/>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Aquisição de projetos de engenharia</w:t>
            </w:r>
          </w:p>
        </w:tc>
        <w:tc>
          <w:tcPr>
            <w:tcW w:w="3543" w:type="dxa"/>
            <w:tcBorders>
              <w:top w:val="nil"/>
              <w:left w:val="nil"/>
              <w:bottom w:val="single" w:sz="4" w:space="0" w:color="auto"/>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Aquisição de projetos das bacias de contenção</w:t>
            </w:r>
          </w:p>
        </w:tc>
        <w:tc>
          <w:tcPr>
            <w:tcW w:w="1701" w:type="dxa"/>
            <w:tcBorders>
              <w:top w:val="nil"/>
              <w:left w:val="nil"/>
              <w:bottom w:val="single" w:sz="4" w:space="0" w:color="auto"/>
              <w:right w:val="single" w:sz="4" w:space="0" w:color="auto"/>
            </w:tcBorders>
            <w:shd w:val="clear" w:color="000000" w:fill="F2F2F2"/>
            <w:noWrap/>
            <w:vAlign w:val="center"/>
            <w:hideMark/>
          </w:tcPr>
          <w:p w:rsidR="00694004" w:rsidRPr="00A321B3" w:rsidRDefault="00694004" w:rsidP="00694004">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R$</w:t>
            </w:r>
            <w:r>
              <w:rPr>
                <w:rFonts w:ascii="Calibri" w:eastAsia="Times New Roman" w:hAnsi="Calibri" w:cs="Calibri"/>
                <w:color w:val="000000"/>
                <w:sz w:val="16"/>
                <w:szCs w:val="16"/>
                <w:lang w:eastAsia="pt-BR"/>
              </w:rPr>
              <w:t xml:space="preserve"> </w:t>
            </w:r>
            <w:r w:rsidRPr="00A321B3">
              <w:rPr>
                <w:rFonts w:ascii="Calibri" w:eastAsia="Times New Roman" w:hAnsi="Calibri" w:cs="Calibri"/>
                <w:color w:val="000000"/>
                <w:sz w:val="16"/>
                <w:szCs w:val="16"/>
                <w:lang w:eastAsia="pt-BR"/>
              </w:rPr>
              <w:t xml:space="preserve">187.000,00 </w:t>
            </w:r>
          </w:p>
        </w:tc>
        <w:tc>
          <w:tcPr>
            <w:tcW w:w="1701" w:type="dxa"/>
            <w:tcBorders>
              <w:top w:val="nil"/>
              <w:left w:val="nil"/>
              <w:bottom w:val="single" w:sz="4" w:space="0" w:color="auto"/>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Em andamento</w:t>
            </w:r>
          </w:p>
        </w:tc>
        <w:tc>
          <w:tcPr>
            <w:tcW w:w="3969" w:type="dxa"/>
            <w:tcBorders>
              <w:top w:val="nil"/>
              <w:left w:val="nil"/>
              <w:bottom w:val="single" w:sz="4" w:space="0" w:color="auto"/>
              <w:right w:val="single" w:sz="4" w:space="0" w:color="auto"/>
            </w:tcBorders>
            <w:shd w:val="clear" w:color="000000" w:fill="F2F2F2"/>
            <w:vAlign w:val="center"/>
            <w:hideMark/>
          </w:tcPr>
          <w:p w:rsidR="00694004" w:rsidRPr="00A321B3" w:rsidRDefault="00694004" w:rsidP="00981260">
            <w:pPr>
              <w:spacing w:after="0" w:line="240" w:lineRule="auto"/>
              <w:jc w:val="center"/>
              <w:rPr>
                <w:rFonts w:ascii="Calibri" w:eastAsia="Times New Roman" w:hAnsi="Calibri" w:cs="Calibri"/>
                <w:color w:val="000000"/>
                <w:sz w:val="16"/>
                <w:szCs w:val="16"/>
                <w:lang w:eastAsia="pt-BR"/>
              </w:rPr>
            </w:pPr>
            <w:r>
              <w:rPr>
                <w:rFonts w:ascii="Calibri" w:eastAsia="Times New Roman" w:hAnsi="Calibri" w:cs="Calibri"/>
                <w:color w:val="000000"/>
                <w:sz w:val="16"/>
                <w:szCs w:val="16"/>
                <w:lang w:eastAsia="pt-BR"/>
              </w:rPr>
              <w:t xml:space="preserve">Após a execução da etapa anterior já poderá ser iniciado. O Termo de Referência para aquisição </w:t>
            </w:r>
            <w:r w:rsidR="00981260">
              <w:rPr>
                <w:rFonts w:ascii="Calibri" w:eastAsia="Times New Roman" w:hAnsi="Calibri" w:cs="Calibri"/>
                <w:color w:val="000000"/>
                <w:sz w:val="16"/>
                <w:szCs w:val="16"/>
                <w:lang w:eastAsia="pt-BR"/>
              </w:rPr>
              <w:t>dos projetos já está pronto</w:t>
            </w:r>
            <w:r>
              <w:rPr>
                <w:rFonts w:ascii="Calibri" w:eastAsia="Times New Roman" w:hAnsi="Calibri" w:cs="Calibri"/>
                <w:color w:val="000000"/>
                <w:sz w:val="16"/>
                <w:szCs w:val="16"/>
                <w:lang w:eastAsia="pt-BR"/>
              </w:rPr>
              <w:t>.</w:t>
            </w:r>
            <w:r w:rsidR="00981260">
              <w:rPr>
                <w:rFonts w:ascii="Calibri" w:eastAsia="Times New Roman" w:hAnsi="Calibri" w:cs="Calibri"/>
                <w:color w:val="000000"/>
                <w:sz w:val="16"/>
                <w:szCs w:val="16"/>
                <w:lang w:eastAsia="pt-BR"/>
              </w:rPr>
              <w:t xml:space="preserve"> </w:t>
            </w:r>
            <w:r>
              <w:rPr>
                <w:rFonts w:ascii="Calibri" w:eastAsia="Times New Roman" w:hAnsi="Calibri" w:cs="Calibri"/>
                <w:color w:val="000000"/>
                <w:sz w:val="16"/>
                <w:szCs w:val="16"/>
                <w:lang w:eastAsia="pt-BR"/>
              </w:rPr>
              <w:t xml:space="preserve">Será necessário orçar novamente. </w:t>
            </w:r>
          </w:p>
        </w:tc>
      </w:tr>
      <w:tr w:rsidR="00694004" w:rsidRPr="00A321B3" w:rsidTr="00694004">
        <w:trPr>
          <w:trHeight w:val="691"/>
        </w:trPr>
        <w:tc>
          <w:tcPr>
            <w:tcW w:w="572" w:type="dxa"/>
            <w:vMerge w:val="restart"/>
            <w:tcBorders>
              <w:top w:val="nil"/>
              <w:left w:val="single" w:sz="4" w:space="0" w:color="auto"/>
              <w:bottom w:val="nil"/>
              <w:right w:val="single" w:sz="4" w:space="0" w:color="auto"/>
            </w:tcBorders>
            <w:shd w:val="clear" w:color="000000" w:fill="F2F2F2"/>
            <w:noWrap/>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4</w:t>
            </w:r>
          </w:p>
        </w:tc>
        <w:tc>
          <w:tcPr>
            <w:tcW w:w="2192" w:type="dxa"/>
            <w:vMerge w:val="restart"/>
            <w:tcBorders>
              <w:top w:val="nil"/>
              <w:left w:val="single" w:sz="4" w:space="0" w:color="auto"/>
              <w:bottom w:val="nil"/>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Capacitação</w:t>
            </w:r>
          </w:p>
        </w:tc>
        <w:tc>
          <w:tcPr>
            <w:tcW w:w="3543" w:type="dxa"/>
            <w:tcBorders>
              <w:top w:val="single" w:sz="4" w:space="0" w:color="auto"/>
              <w:left w:val="nil"/>
              <w:bottom w:val="single" w:sz="4" w:space="0" w:color="auto"/>
              <w:right w:val="single" w:sz="4" w:space="0" w:color="auto"/>
            </w:tcBorders>
            <w:shd w:val="clear" w:color="000000" w:fill="F2F2F2"/>
            <w:vAlign w:val="center"/>
            <w:hideMark/>
          </w:tcPr>
          <w:p w:rsidR="00694004" w:rsidRPr="00A321B3" w:rsidRDefault="00694004" w:rsidP="00A321B3">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 xml:space="preserve">Aquisição dos Kits de </w:t>
            </w:r>
            <w:r w:rsidRPr="00A321B3">
              <w:rPr>
                <w:rFonts w:ascii="Calibri" w:eastAsia="Times New Roman" w:hAnsi="Calibri" w:cs="Calibri"/>
                <w:color w:val="000000"/>
                <w:sz w:val="16"/>
                <w:szCs w:val="16"/>
                <w:lang w:eastAsia="pt-BR"/>
              </w:rPr>
              <w:t xml:space="preserve">operacionais </w:t>
            </w:r>
            <w:r w:rsidRPr="00A321B3">
              <w:rPr>
                <w:rFonts w:ascii="Calibri" w:eastAsia="Times New Roman" w:hAnsi="Calibri" w:cs="Calibri"/>
                <w:color w:val="000000"/>
                <w:sz w:val="16"/>
                <w:szCs w:val="16"/>
                <w:lang w:eastAsia="pt-BR"/>
              </w:rPr>
              <w:t xml:space="preserve">dos </w:t>
            </w:r>
            <w:proofErr w:type="spellStart"/>
            <w:r w:rsidRPr="00A321B3">
              <w:rPr>
                <w:rFonts w:ascii="Calibri" w:eastAsia="Times New Roman" w:hAnsi="Calibri" w:cs="Calibri"/>
                <w:color w:val="000000"/>
                <w:sz w:val="16"/>
                <w:szCs w:val="16"/>
                <w:lang w:eastAsia="pt-BR"/>
              </w:rPr>
              <w:t>Napp</w:t>
            </w:r>
            <w:proofErr w:type="spellEnd"/>
          </w:p>
        </w:tc>
        <w:tc>
          <w:tcPr>
            <w:tcW w:w="1701"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694004" w:rsidRPr="00A321B3" w:rsidRDefault="00694004" w:rsidP="00694004">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R$</w:t>
            </w:r>
            <w:r>
              <w:rPr>
                <w:rFonts w:ascii="Calibri" w:eastAsia="Times New Roman" w:hAnsi="Calibri" w:cs="Calibri"/>
                <w:color w:val="000000"/>
                <w:sz w:val="16"/>
                <w:szCs w:val="16"/>
                <w:lang w:eastAsia="pt-BR"/>
              </w:rPr>
              <w:t xml:space="preserve"> </w:t>
            </w:r>
            <w:r w:rsidRPr="00A321B3">
              <w:rPr>
                <w:rFonts w:ascii="Calibri" w:eastAsia="Times New Roman" w:hAnsi="Calibri" w:cs="Calibri"/>
                <w:color w:val="000000"/>
                <w:sz w:val="16"/>
                <w:szCs w:val="16"/>
                <w:lang w:eastAsia="pt-BR"/>
              </w:rPr>
              <w:t xml:space="preserve">629.872,00 </w:t>
            </w:r>
          </w:p>
        </w:tc>
        <w:tc>
          <w:tcPr>
            <w:tcW w:w="1701" w:type="dxa"/>
            <w:tcBorders>
              <w:top w:val="nil"/>
              <w:left w:val="single" w:sz="4" w:space="0" w:color="auto"/>
              <w:bottom w:val="single" w:sz="4" w:space="0" w:color="auto"/>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Em andamento</w:t>
            </w:r>
          </w:p>
        </w:tc>
        <w:tc>
          <w:tcPr>
            <w:tcW w:w="3969" w:type="dxa"/>
            <w:tcBorders>
              <w:top w:val="nil"/>
              <w:left w:val="single" w:sz="4" w:space="0" w:color="auto"/>
              <w:bottom w:val="single" w:sz="4" w:space="0" w:color="000000"/>
              <w:right w:val="single" w:sz="4" w:space="0" w:color="auto"/>
            </w:tcBorders>
            <w:shd w:val="clear" w:color="000000" w:fill="F2F2F2"/>
            <w:vAlign w:val="center"/>
            <w:hideMark/>
          </w:tcPr>
          <w:p w:rsidR="00694004" w:rsidRDefault="00694004" w:rsidP="005A3BD2">
            <w:pPr>
              <w:spacing w:after="0" w:line="240" w:lineRule="auto"/>
              <w:jc w:val="center"/>
              <w:rPr>
                <w:rFonts w:ascii="Calibri" w:eastAsia="Times New Roman" w:hAnsi="Calibri" w:cs="Calibri"/>
                <w:color w:val="000000"/>
                <w:sz w:val="16"/>
                <w:szCs w:val="16"/>
                <w:lang w:eastAsia="pt-BR"/>
              </w:rPr>
            </w:pPr>
            <w:r>
              <w:rPr>
                <w:rFonts w:ascii="Calibri" w:eastAsia="Times New Roman" w:hAnsi="Calibri" w:cs="Calibri"/>
                <w:color w:val="000000"/>
                <w:sz w:val="16"/>
                <w:szCs w:val="16"/>
                <w:lang w:eastAsia="pt-BR"/>
              </w:rPr>
              <w:t>Processo de aquisição em andamento.</w:t>
            </w:r>
          </w:p>
          <w:p w:rsidR="00694004" w:rsidRPr="00A321B3" w:rsidRDefault="00694004" w:rsidP="00A321B3">
            <w:pPr>
              <w:spacing w:after="0" w:line="240" w:lineRule="auto"/>
              <w:jc w:val="center"/>
              <w:rPr>
                <w:rFonts w:ascii="Calibri" w:eastAsia="Times New Roman" w:hAnsi="Calibri" w:cs="Calibri"/>
                <w:color w:val="000000"/>
                <w:sz w:val="16"/>
                <w:szCs w:val="16"/>
                <w:lang w:eastAsia="pt-BR"/>
              </w:rPr>
            </w:pPr>
            <w:r>
              <w:rPr>
                <w:rFonts w:ascii="Calibri" w:eastAsia="Times New Roman" w:hAnsi="Calibri" w:cs="Calibri"/>
                <w:color w:val="000000"/>
                <w:sz w:val="16"/>
                <w:szCs w:val="16"/>
                <w:lang w:eastAsia="pt-BR"/>
              </w:rPr>
              <w:t>Protocolo do Paraná nº</w:t>
            </w:r>
            <w:r w:rsidRPr="00A321B3">
              <w:rPr>
                <w:rFonts w:ascii="Calibri" w:eastAsia="Times New Roman" w:hAnsi="Calibri" w:cs="Calibri"/>
                <w:color w:val="000000"/>
                <w:sz w:val="16"/>
                <w:szCs w:val="16"/>
                <w:lang w:eastAsia="pt-BR"/>
              </w:rPr>
              <w:t xml:space="preserve"> </w:t>
            </w:r>
            <w:r>
              <w:rPr>
                <w:rFonts w:ascii="Calibri" w:eastAsia="Times New Roman" w:hAnsi="Calibri" w:cs="Calibri"/>
                <w:color w:val="000000"/>
                <w:sz w:val="16"/>
                <w:szCs w:val="16"/>
                <w:lang w:eastAsia="pt-BR"/>
              </w:rPr>
              <w:t>15.738.249-7</w:t>
            </w:r>
            <w:r w:rsidR="00981260">
              <w:rPr>
                <w:rFonts w:ascii="Calibri" w:eastAsia="Times New Roman" w:hAnsi="Calibri" w:cs="Calibri"/>
                <w:color w:val="000000"/>
                <w:sz w:val="16"/>
                <w:szCs w:val="16"/>
                <w:lang w:eastAsia="pt-BR"/>
              </w:rPr>
              <w:t>. Aguardando informação financeira para dar prosseguimento à licitação.</w:t>
            </w:r>
          </w:p>
        </w:tc>
      </w:tr>
      <w:tr w:rsidR="00694004" w:rsidRPr="00A321B3" w:rsidTr="00694004">
        <w:trPr>
          <w:trHeight w:val="456"/>
        </w:trPr>
        <w:tc>
          <w:tcPr>
            <w:tcW w:w="572" w:type="dxa"/>
            <w:vMerge/>
            <w:tcBorders>
              <w:top w:val="nil"/>
              <w:left w:val="single" w:sz="4" w:space="0" w:color="auto"/>
              <w:bottom w:val="nil"/>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2192" w:type="dxa"/>
            <w:vMerge/>
            <w:tcBorders>
              <w:top w:val="nil"/>
              <w:left w:val="single" w:sz="4" w:space="0" w:color="auto"/>
              <w:bottom w:val="nil"/>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354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Estruturação dos Planos de Curso e definição dos instrutores de intervenção a emergências com PP.</w:t>
            </w:r>
          </w:p>
        </w:tc>
        <w:tc>
          <w:tcPr>
            <w:tcW w:w="1701" w:type="dxa"/>
            <w:vMerge/>
            <w:tcBorders>
              <w:top w:val="nil"/>
              <w:left w:val="single" w:sz="4" w:space="0" w:color="auto"/>
              <w:bottom w:val="single" w:sz="4" w:space="0" w:color="auto"/>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1701" w:type="dxa"/>
            <w:vMerge w:val="restart"/>
            <w:tcBorders>
              <w:top w:val="nil"/>
              <w:left w:val="single" w:sz="4" w:space="0" w:color="auto"/>
              <w:bottom w:val="nil"/>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Pr>
                <w:rFonts w:ascii="Calibri" w:eastAsia="Times New Roman" w:hAnsi="Calibri" w:cs="Calibri"/>
                <w:color w:val="000000"/>
                <w:sz w:val="16"/>
                <w:szCs w:val="16"/>
                <w:lang w:eastAsia="pt-BR"/>
              </w:rPr>
              <w:t>Não iniciado</w:t>
            </w:r>
            <w:r w:rsidRPr="00A321B3">
              <w:rPr>
                <w:rFonts w:ascii="Calibri" w:eastAsia="Times New Roman" w:hAnsi="Calibri" w:cs="Calibri"/>
                <w:color w:val="000000"/>
                <w:sz w:val="16"/>
                <w:szCs w:val="16"/>
                <w:lang w:eastAsia="pt-BR"/>
              </w:rPr>
              <w:t> </w:t>
            </w:r>
          </w:p>
        </w:tc>
        <w:tc>
          <w:tcPr>
            <w:tcW w:w="3969" w:type="dxa"/>
            <w:vMerge w:val="restart"/>
            <w:tcBorders>
              <w:top w:val="nil"/>
              <w:left w:val="single" w:sz="4" w:space="0" w:color="auto"/>
              <w:bottom w:val="nil"/>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Pr>
                <w:rFonts w:ascii="Calibri" w:eastAsia="Times New Roman" w:hAnsi="Calibri" w:cs="Calibri"/>
                <w:color w:val="000000"/>
                <w:sz w:val="16"/>
                <w:szCs w:val="16"/>
                <w:lang w:eastAsia="pt-BR"/>
              </w:rPr>
              <w:t>Serão definidos e/ou realizados após o recebimento dos materiais.</w:t>
            </w:r>
            <w:r w:rsidRPr="00A321B3">
              <w:rPr>
                <w:rFonts w:ascii="Calibri" w:eastAsia="Times New Roman" w:hAnsi="Calibri" w:cs="Calibri"/>
                <w:color w:val="000000"/>
                <w:sz w:val="16"/>
                <w:szCs w:val="16"/>
                <w:lang w:eastAsia="pt-BR"/>
              </w:rPr>
              <w:t> </w:t>
            </w:r>
          </w:p>
        </w:tc>
      </w:tr>
      <w:tr w:rsidR="00694004" w:rsidRPr="00A321B3" w:rsidTr="00694004">
        <w:trPr>
          <w:trHeight w:val="240"/>
        </w:trPr>
        <w:tc>
          <w:tcPr>
            <w:tcW w:w="572" w:type="dxa"/>
            <w:vMerge/>
            <w:tcBorders>
              <w:top w:val="nil"/>
              <w:left w:val="single" w:sz="4" w:space="0" w:color="auto"/>
              <w:bottom w:val="nil"/>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2192" w:type="dxa"/>
            <w:vMerge/>
            <w:tcBorders>
              <w:top w:val="nil"/>
              <w:left w:val="single" w:sz="4" w:space="0" w:color="auto"/>
              <w:bottom w:val="nil"/>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1701" w:type="dxa"/>
            <w:vMerge/>
            <w:tcBorders>
              <w:top w:val="nil"/>
              <w:left w:val="single" w:sz="4" w:space="0" w:color="auto"/>
              <w:bottom w:val="single" w:sz="4" w:space="0" w:color="auto"/>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1701" w:type="dxa"/>
            <w:vMerge/>
            <w:tcBorders>
              <w:top w:val="nil"/>
              <w:left w:val="single" w:sz="4" w:space="0" w:color="auto"/>
              <w:bottom w:val="nil"/>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3969" w:type="dxa"/>
            <w:vMerge/>
            <w:tcBorders>
              <w:top w:val="nil"/>
              <w:left w:val="single" w:sz="4" w:space="0" w:color="auto"/>
              <w:bottom w:val="nil"/>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r>
      <w:tr w:rsidR="00694004" w:rsidRPr="00A321B3" w:rsidTr="00694004">
        <w:trPr>
          <w:trHeight w:val="408"/>
        </w:trPr>
        <w:tc>
          <w:tcPr>
            <w:tcW w:w="572" w:type="dxa"/>
            <w:vMerge/>
            <w:tcBorders>
              <w:top w:val="nil"/>
              <w:left w:val="single" w:sz="4" w:space="0" w:color="auto"/>
              <w:bottom w:val="nil"/>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2192" w:type="dxa"/>
            <w:vMerge/>
            <w:tcBorders>
              <w:top w:val="nil"/>
              <w:left w:val="single" w:sz="4" w:space="0" w:color="auto"/>
              <w:bottom w:val="nil"/>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3543" w:type="dxa"/>
            <w:tcBorders>
              <w:top w:val="single" w:sz="4" w:space="0" w:color="auto"/>
              <w:left w:val="nil"/>
              <w:bottom w:val="single" w:sz="4" w:space="0" w:color="auto"/>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 xml:space="preserve">Capacitação dos Gestores dos </w:t>
            </w:r>
            <w:proofErr w:type="spellStart"/>
            <w:r w:rsidRPr="00A321B3">
              <w:rPr>
                <w:rFonts w:ascii="Calibri" w:eastAsia="Times New Roman" w:hAnsi="Calibri" w:cs="Calibri"/>
                <w:color w:val="000000"/>
                <w:sz w:val="16"/>
                <w:szCs w:val="16"/>
                <w:lang w:eastAsia="pt-BR"/>
              </w:rPr>
              <w:t>NAPPs</w:t>
            </w:r>
            <w:proofErr w:type="spellEnd"/>
          </w:p>
        </w:tc>
        <w:tc>
          <w:tcPr>
            <w:tcW w:w="1701" w:type="dxa"/>
            <w:vMerge/>
            <w:tcBorders>
              <w:top w:val="nil"/>
              <w:left w:val="single" w:sz="4" w:space="0" w:color="auto"/>
              <w:bottom w:val="single" w:sz="4" w:space="0" w:color="auto"/>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1701" w:type="dxa"/>
            <w:vMerge/>
            <w:tcBorders>
              <w:top w:val="nil"/>
              <w:left w:val="single" w:sz="4" w:space="0" w:color="auto"/>
              <w:bottom w:val="nil"/>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3969" w:type="dxa"/>
            <w:vMerge/>
            <w:tcBorders>
              <w:top w:val="nil"/>
              <w:left w:val="single" w:sz="4" w:space="0" w:color="auto"/>
              <w:bottom w:val="nil"/>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r>
      <w:tr w:rsidR="00694004" w:rsidRPr="00A321B3" w:rsidTr="00694004">
        <w:trPr>
          <w:trHeight w:val="420"/>
        </w:trPr>
        <w:tc>
          <w:tcPr>
            <w:tcW w:w="572" w:type="dxa"/>
            <w:vMerge w:val="restart"/>
            <w:tcBorders>
              <w:top w:val="single" w:sz="4" w:space="0" w:color="auto"/>
              <w:left w:val="single" w:sz="4" w:space="0" w:color="auto"/>
              <w:bottom w:val="single" w:sz="4" w:space="0" w:color="000000"/>
              <w:right w:val="single" w:sz="4" w:space="0" w:color="auto"/>
            </w:tcBorders>
            <w:shd w:val="clear" w:color="000000" w:fill="F2F2F2"/>
            <w:noWrap/>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5</w:t>
            </w:r>
          </w:p>
        </w:tc>
        <w:tc>
          <w:tcPr>
            <w:tcW w:w="2192"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Definição dos NAPPS e elaboração de estudos</w:t>
            </w:r>
          </w:p>
        </w:tc>
        <w:tc>
          <w:tcPr>
            <w:tcW w:w="3543" w:type="dxa"/>
            <w:tcBorders>
              <w:top w:val="nil"/>
              <w:left w:val="nil"/>
              <w:bottom w:val="single" w:sz="4" w:space="0" w:color="auto"/>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 xml:space="preserve">Definição das 5 </w:t>
            </w:r>
            <w:proofErr w:type="spellStart"/>
            <w:r w:rsidRPr="00A321B3">
              <w:rPr>
                <w:rFonts w:ascii="Calibri" w:eastAsia="Times New Roman" w:hAnsi="Calibri" w:cs="Calibri"/>
                <w:color w:val="000000"/>
                <w:sz w:val="16"/>
                <w:szCs w:val="16"/>
                <w:lang w:eastAsia="pt-BR"/>
              </w:rPr>
              <w:t>NAPPs</w:t>
            </w:r>
            <w:proofErr w:type="spellEnd"/>
          </w:p>
        </w:tc>
        <w:tc>
          <w:tcPr>
            <w:tcW w:w="1701" w:type="dxa"/>
            <w:vMerge w:val="restart"/>
            <w:tcBorders>
              <w:top w:val="nil"/>
              <w:left w:val="single" w:sz="4" w:space="0" w:color="auto"/>
              <w:bottom w:val="single" w:sz="4" w:space="0" w:color="auto"/>
              <w:right w:val="single" w:sz="4" w:space="0" w:color="auto"/>
            </w:tcBorders>
            <w:shd w:val="clear" w:color="000000" w:fill="F2F2F2"/>
            <w:noWrap/>
            <w:vAlign w:val="center"/>
            <w:hideMark/>
          </w:tcPr>
          <w:p w:rsidR="00694004" w:rsidRPr="00A321B3" w:rsidRDefault="00694004" w:rsidP="00694004">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R$</w:t>
            </w:r>
            <w:r>
              <w:rPr>
                <w:rFonts w:ascii="Calibri" w:eastAsia="Times New Roman" w:hAnsi="Calibri" w:cs="Calibri"/>
                <w:color w:val="000000"/>
                <w:sz w:val="16"/>
                <w:szCs w:val="16"/>
                <w:lang w:eastAsia="pt-BR"/>
              </w:rPr>
              <w:t xml:space="preserve"> </w:t>
            </w:r>
            <w:r w:rsidRPr="00A321B3">
              <w:rPr>
                <w:rFonts w:ascii="Calibri" w:eastAsia="Times New Roman" w:hAnsi="Calibri" w:cs="Calibri"/>
                <w:color w:val="000000"/>
                <w:sz w:val="16"/>
                <w:szCs w:val="16"/>
                <w:lang w:eastAsia="pt-BR"/>
              </w:rPr>
              <w:t xml:space="preserve">600.000,00 </w:t>
            </w:r>
          </w:p>
        </w:tc>
        <w:tc>
          <w:tcPr>
            <w:tcW w:w="1701" w:type="dxa"/>
            <w:tcBorders>
              <w:top w:val="single" w:sz="4" w:space="0" w:color="auto"/>
              <w:left w:val="single" w:sz="4" w:space="0" w:color="auto"/>
              <w:bottom w:val="single" w:sz="4" w:space="0" w:color="000000"/>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Pr>
                <w:rFonts w:ascii="Calibri" w:eastAsia="Times New Roman" w:hAnsi="Calibri" w:cs="Calibri"/>
                <w:color w:val="000000"/>
                <w:sz w:val="16"/>
                <w:szCs w:val="16"/>
                <w:lang w:eastAsia="pt-BR"/>
              </w:rPr>
              <w:t>Em andamento</w:t>
            </w:r>
          </w:p>
        </w:tc>
        <w:tc>
          <w:tcPr>
            <w:tcW w:w="396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rsidR="00694004" w:rsidRPr="00A321B3" w:rsidRDefault="00694004" w:rsidP="00981260">
            <w:pPr>
              <w:spacing w:after="0" w:line="240" w:lineRule="auto"/>
              <w:jc w:val="center"/>
              <w:rPr>
                <w:rFonts w:ascii="Calibri" w:eastAsia="Times New Roman" w:hAnsi="Calibri" w:cs="Calibri"/>
                <w:color w:val="000000"/>
                <w:sz w:val="16"/>
                <w:szCs w:val="16"/>
                <w:lang w:eastAsia="pt-BR"/>
              </w:rPr>
            </w:pPr>
            <w:r>
              <w:rPr>
                <w:rFonts w:ascii="Calibri" w:eastAsia="Times New Roman" w:hAnsi="Calibri" w:cs="Calibri"/>
                <w:color w:val="000000"/>
                <w:sz w:val="16"/>
                <w:szCs w:val="16"/>
                <w:lang w:eastAsia="pt-BR"/>
              </w:rPr>
              <w:t xml:space="preserve">Já existe indicação dos locais prioritários para alocação dos NAPP. Após a </w:t>
            </w:r>
            <w:r w:rsidR="00981260">
              <w:rPr>
                <w:rFonts w:ascii="Calibri" w:eastAsia="Times New Roman" w:hAnsi="Calibri" w:cs="Calibri"/>
                <w:color w:val="000000"/>
                <w:sz w:val="16"/>
                <w:szCs w:val="16"/>
                <w:lang w:eastAsia="pt-BR"/>
              </w:rPr>
              <w:t>aquisição dos materiais deverão ser definidos os cinco pontos para instalação das bacias, consolidando os NAPP.</w:t>
            </w:r>
          </w:p>
        </w:tc>
      </w:tr>
      <w:tr w:rsidR="00694004" w:rsidRPr="00A321B3" w:rsidTr="00694004">
        <w:trPr>
          <w:trHeight w:val="420"/>
        </w:trPr>
        <w:tc>
          <w:tcPr>
            <w:tcW w:w="572" w:type="dxa"/>
            <w:vMerge/>
            <w:tcBorders>
              <w:top w:val="single" w:sz="4" w:space="0" w:color="auto"/>
              <w:left w:val="single" w:sz="4" w:space="0" w:color="auto"/>
              <w:bottom w:val="single" w:sz="4" w:space="0" w:color="000000"/>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2192" w:type="dxa"/>
            <w:vMerge/>
            <w:tcBorders>
              <w:top w:val="single" w:sz="4" w:space="0" w:color="auto"/>
              <w:left w:val="single" w:sz="4" w:space="0" w:color="auto"/>
              <w:bottom w:val="single" w:sz="4" w:space="0" w:color="000000"/>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3543" w:type="dxa"/>
            <w:tcBorders>
              <w:top w:val="nil"/>
              <w:left w:val="nil"/>
              <w:bottom w:val="single" w:sz="4" w:space="0" w:color="auto"/>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 xml:space="preserve">Definição dos Gestores dos </w:t>
            </w:r>
            <w:proofErr w:type="spellStart"/>
            <w:r w:rsidRPr="00A321B3">
              <w:rPr>
                <w:rFonts w:ascii="Calibri" w:eastAsia="Times New Roman" w:hAnsi="Calibri" w:cs="Calibri"/>
                <w:color w:val="000000"/>
                <w:sz w:val="16"/>
                <w:szCs w:val="16"/>
                <w:lang w:eastAsia="pt-BR"/>
              </w:rPr>
              <w:t>NAPPs</w:t>
            </w:r>
            <w:proofErr w:type="spellEnd"/>
          </w:p>
        </w:tc>
        <w:tc>
          <w:tcPr>
            <w:tcW w:w="1701" w:type="dxa"/>
            <w:vMerge/>
            <w:tcBorders>
              <w:top w:val="nil"/>
              <w:left w:val="single" w:sz="4" w:space="0" w:color="auto"/>
              <w:bottom w:val="single" w:sz="4" w:space="0" w:color="auto"/>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1701" w:type="dxa"/>
            <w:tcBorders>
              <w:top w:val="single" w:sz="4" w:space="0" w:color="auto"/>
              <w:left w:val="single" w:sz="4" w:space="0" w:color="auto"/>
              <w:bottom w:val="single" w:sz="4" w:space="0" w:color="000000"/>
              <w:right w:val="single" w:sz="4" w:space="0" w:color="auto"/>
            </w:tcBorders>
            <w:shd w:val="clear" w:color="000000" w:fill="F2F2F2"/>
            <w:vAlign w:val="center"/>
            <w:hideMark/>
          </w:tcPr>
          <w:p w:rsidR="00694004" w:rsidRPr="00A321B3" w:rsidRDefault="00694004" w:rsidP="00694004">
            <w:pPr>
              <w:spacing w:after="0" w:line="240" w:lineRule="auto"/>
              <w:jc w:val="center"/>
              <w:rPr>
                <w:rFonts w:ascii="Calibri" w:eastAsia="Times New Roman" w:hAnsi="Calibri" w:cs="Calibri"/>
                <w:color w:val="000000"/>
                <w:sz w:val="16"/>
                <w:szCs w:val="16"/>
                <w:lang w:eastAsia="pt-BR"/>
              </w:rPr>
            </w:pPr>
            <w:r>
              <w:rPr>
                <w:rFonts w:ascii="Calibri" w:eastAsia="Times New Roman" w:hAnsi="Calibri" w:cs="Calibri"/>
                <w:color w:val="000000"/>
                <w:sz w:val="16"/>
                <w:szCs w:val="16"/>
                <w:lang w:eastAsia="pt-BR"/>
              </w:rPr>
              <w:t>Não iniciado</w:t>
            </w:r>
          </w:p>
        </w:tc>
        <w:tc>
          <w:tcPr>
            <w:tcW w:w="3969" w:type="dxa"/>
            <w:vMerge/>
            <w:tcBorders>
              <w:top w:val="single" w:sz="4" w:space="0" w:color="auto"/>
              <w:left w:val="single" w:sz="4" w:space="0" w:color="auto"/>
              <w:bottom w:val="single" w:sz="4" w:space="0" w:color="000000"/>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r>
      <w:tr w:rsidR="00694004" w:rsidRPr="00A321B3" w:rsidTr="00694004">
        <w:trPr>
          <w:trHeight w:val="576"/>
        </w:trPr>
        <w:tc>
          <w:tcPr>
            <w:tcW w:w="572" w:type="dxa"/>
            <w:vMerge/>
            <w:tcBorders>
              <w:top w:val="single" w:sz="4" w:space="0" w:color="auto"/>
              <w:left w:val="single" w:sz="4" w:space="0" w:color="auto"/>
              <w:bottom w:val="single" w:sz="4" w:space="0" w:color="000000"/>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2192" w:type="dxa"/>
            <w:vMerge/>
            <w:tcBorders>
              <w:top w:val="single" w:sz="4" w:space="0" w:color="auto"/>
              <w:left w:val="single" w:sz="4" w:space="0" w:color="auto"/>
              <w:bottom w:val="single" w:sz="4" w:space="0" w:color="000000"/>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3543" w:type="dxa"/>
            <w:tcBorders>
              <w:top w:val="nil"/>
              <w:left w:val="single" w:sz="4" w:space="0" w:color="auto"/>
              <w:bottom w:val="single" w:sz="4" w:space="0" w:color="000000"/>
              <w:right w:val="single" w:sz="4" w:space="0" w:color="auto"/>
            </w:tcBorders>
            <w:shd w:val="clear" w:color="000000" w:fill="F2F2F2"/>
            <w:vAlign w:val="center"/>
            <w:hideMark/>
          </w:tcPr>
          <w:p w:rsidR="00694004" w:rsidRPr="00A321B3" w:rsidRDefault="00694004" w:rsidP="005A3BD2">
            <w:pPr>
              <w:spacing w:after="0" w:line="240" w:lineRule="auto"/>
              <w:jc w:val="center"/>
              <w:rPr>
                <w:rFonts w:ascii="Calibri" w:eastAsia="Times New Roman" w:hAnsi="Calibri" w:cs="Calibri"/>
                <w:color w:val="000000"/>
                <w:sz w:val="16"/>
                <w:szCs w:val="16"/>
                <w:lang w:eastAsia="pt-BR"/>
              </w:rPr>
            </w:pPr>
            <w:r w:rsidRPr="00A321B3">
              <w:rPr>
                <w:rFonts w:ascii="Calibri" w:eastAsia="Times New Roman" w:hAnsi="Calibri" w:cs="Calibri"/>
                <w:color w:val="000000"/>
                <w:sz w:val="16"/>
                <w:szCs w:val="16"/>
                <w:lang w:eastAsia="pt-BR"/>
              </w:rPr>
              <w:t>Estudos de medidas mitigadoras com acidentes com PP.</w:t>
            </w:r>
          </w:p>
        </w:tc>
        <w:tc>
          <w:tcPr>
            <w:tcW w:w="1701" w:type="dxa"/>
            <w:vMerge/>
            <w:tcBorders>
              <w:top w:val="nil"/>
              <w:left w:val="single" w:sz="4" w:space="0" w:color="auto"/>
              <w:bottom w:val="single" w:sz="4" w:space="0" w:color="auto"/>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c>
          <w:tcPr>
            <w:tcW w:w="1701" w:type="dxa"/>
            <w:tcBorders>
              <w:top w:val="single" w:sz="4" w:space="0" w:color="auto"/>
              <w:left w:val="single" w:sz="4" w:space="0" w:color="auto"/>
              <w:bottom w:val="single" w:sz="4" w:space="0" w:color="000000"/>
              <w:right w:val="single" w:sz="4" w:space="0" w:color="auto"/>
            </w:tcBorders>
            <w:shd w:val="clear" w:color="000000" w:fill="F2F2F2"/>
            <w:vAlign w:val="center"/>
            <w:hideMark/>
          </w:tcPr>
          <w:p w:rsidR="00694004" w:rsidRPr="00A321B3" w:rsidRDefault="00694004" w:rsidP="00694004">
            <w:pPr>
              <w:spacing w:after="0" w:line="240" w:lineRule="auto"/>
              <w:jc w:val="center"/>
              <w:rPr>
                <w:rFonts w:ascii="Calibri" w:eastAsia="Times New Roman" w:hAnsi="Calibri" w:cs="Calibri"/>
                <w:color w:val="000000"/>
                <w:sz w:val="16"/>
                <w:szCs w:val="16"/>
                <w:lang w:eastAsia="pt-BR"/>
              </w:rPr>
            </w:pPr>
            <w:r>
              <w:rPr>
                <w:rFonts w:ascii="Calibri" w:eastAsia="Times New Roman" w:hAnsi="Calibri" w:cs="Calibri"/>
                <w:color w:val="000000"/>
                <w:sz w:val="16"/>
                <w:szCs w:val="16"/>
                <w:lang w:eastAsia="pt-BR"/>
              </w:rPr>
              <w:t>Não iniciado</w:t>
            </w:r>
          </w:p>
        </w:tc>
        <w:tc>
          <w:tcPr>
            <w:tcW w:w="3969" w:type="dxa"/>
            <w:vMerge/>
            <w:tcBorders>
              <w:top w:val="single" w:sz="4" w:space="0" w:color="auto"/>
              <w:left w:val="single" w:sz="4" w:space="0" w:color="auto"/>
              <w:bottom w:val="single" w:sz="4" w:space="0" w:color="000000"/>
              <w:right w:val="single" w:sz="4" w:space="0" w:color="auto"/>
            </w:tcBorders>
            <w:vAlign w:val="center"/>
            <w:hideMark/>
          </w:tcPr>
          <w:p w:rsidR="00694004" w:rsidRPr="00A321B3" w:rsidRDefault="00694004" w:rsidP="005A3BD2">
            <w:pPr>
              <w:spacing w:after="0" w:line="240" w:lineRule="auto"/>
              <w:rPr>
                <w:rFonts w:ascii="Calibri" w:eastAsia="Times New Roman" w:hAnsi="Calibri" w:cs="Calibri"/>
                <w:color w:val="000000"/>
                <w:sz w:val="16"/>
                <w:szCs w:val="16"/>
                <w:lang w:eastAsia="pt-BR"/>
              </w:rPr>
            </w:pPr>
          </w:p>
        </w:tc>
      </w:tr>
      <w:tr w:rsidR="00694004" w:rsidRPr="00A321B3" w:rsidTr="00694004">
        <w:trPr>
          <w:trHeight w:val="288"/>
        </w:trPr>
        <w:tc>
          <w:tcPr>
            <w:tcW w:w="6307" w:type="dxa"/>
            <w:gridSpan w:val="3"/>
            <w:tcBorders>
              <w:top w:val="single" w:sz="4" w:space="0" w:color="auto"/>
              <w:left w:val="single" w:sz="4" w:space="0" w:color="auto"/>
              <w:bottom w:val="single" w:sz="4" w:space="0" w:color="000000"/>
              <w:right w:val="single" w:sz="4" w:space="0" w:color="auto"/>
            </w:tcBorders>
            <w:vAlign w:val="center"/>
          </w:tcPr>
          <w:p w:rsidR="00694004" w:rsidRPr="00A321B3" w:rsidRDefault="00694004" w:rsidP="00694004">
            <w:pPr>
              <w:spacing w:after="0" w:line="240" w:lineRule="auto"/>
              <w:rPr>
                <w:rFonts w:ascii="Calibri" w:eastAsia="Times New Roman" w:hAnsi="Calibri" w:cs="Calibri"/>
                <w:color w:val="000000"/>
                <w:sz w:val="16"/>
                <w:szCs w:val="16"/>
                <w:lang w:eastAsia="pt-BR"/>
              </w:rPr>
            </w:pPr>
            <w:r w:rsidRPr="00694004">
              <w:rPr>
                <w:rFonts w:ascii="Calibri" w:eastAsia="Times New Roman" w:hAnsi="Calibri" w:cs="Calibri"/>
                <w:b/>
                <w:color w:val="000000"/>
                <w:sz w:val="16"/>
                <w:szCs w:val="16"/>
                <w:lang w:eastAsia="pt-BR"/>
              </w:rPr>
              <w:t xml:space="preserve">TOTAL </w:t>
            </w:r>
          </w:p>
        </w:tc>
        <w:tc>
          <w:tcPr>
            <w:tcW w:w="1701" w:type="dxa"/>
            <w:tcBorders>
              <w:top w:val="nil"/>
              <w:left w:val="single" w:sz="4" w:space="0" w:color="auto"/>
              <w:bottom w:val="single" w:sz="4" w:space="0" w:color="auto"/>
              <w:right w:val="single" w:sz="4" w:space="0" w:color="auto"/>
            </w:tcBorders>
            <w:vAlign w:val="center"/>
          </w:tcPr>
          <w:p w:rsidR="00694004" w:rsidRPr="00A321B3" w:rsidRDefault="00694004" w:rsidP="00694004">
            <w:pPr>
              <w:spacing w:after="0" w:line="240" w:lineRule="auto"/>
              <w:rPr>
                <w:rFonts w:ascii="Calibri" w:eastAsia="Times New Roman" w:hAnsi="Calibri" w:cs="Calibri"/>
                <w:color w:val="000000"/>
                <w:sz w:val="16"/>
                <w:szCs w:val="16"/>
                <w:lang w:eastAsia="pt-BR"/>
              </w:rPr>
            </w:pPr>
            <w:r w:rsidRPr="00A321B3">
              <w:rPr>
                <w:rFonts w:ascii="Calibri" w:eastAsia="Times New Roman" w:hAnsi="Calibri" w:cs="Calibri"/>
                <w:b/>
                <w:bCs/>
                <w:color w:val="000000"/>
                <w:sz w:val="16"/>
                <w:szCs w:val="16"/>
                <w:lang w:eastAsia="pt-BR"/>
              </w:rPr>
              <w:t>R$</w:t>
            </w:r>
            <w:r>
              <w:rPr>
                <w:rFonts w:ascii="Calibri" w:eastAsia="Times New Roman" w:hAnsi="Calibri" w:cs="Calibri"/>
                <w:b/>
                <w:bCs/>
                <w:color w:val="000000"/>
                <w:sz w:val="16"/>
                <w:szCs w:val="16"/>
                <w:lang w:eastAsia="pt-BR"/>
              </w:rPr>
              <w:t xml:space="preserve"> </w:t>
            </w:r>
            <w:r w:rsidRPr="00A321B3">
              <w:rPr>
                <w:rFonts w:ascii="Calibri" w:eastAsia="Times New Roman" w:hAnsi="Calibri" w:cs="Calibri"/>
                <w:b/>
                <w:bCs/>
                <w:color w:val="000000"/>
                <w:sz w:val="16"/>
                <w:szCs w:val="16"/>
                <w:lang w:eastAsia="pt-BR"/>
              </w:rPr>
              <w:t>2.413.507,00</w:t>
            </w:r>
          </w:p>
        </w:tc>
        <w:tc>
          <w:tcPr>
            <w:tcW w:w="5670" w:type="dxa"/>
            <w:gridSpan w:val="2"/>
            <w:tcBorders>
              <w:top w:val="single" w:sz="4" w:space="0" w:color="auto"/>
              <w:left w:val="single" w:sz="4" w:space="0" w:color="auto"/>
              <w:bottom w:val="single" w:sz="4" w:space="0" w:color="000000"/>
              <w:right w:val="single" w:sz="4" w:space="0" w:color="auto"/>
            </w:tcBorders>
            <w:vAlign w:val="center"/>
          </w:tcPr>
          <w:p w:rsidR="00694004" w:rsidRPr="00A321B3" w:rsidRDefault="00694004" w:rsidP="00694004">
            <w:pPr>
              <w:spacing w:after="0" w:line="240" w:lineRule="auto"/>
              <w:rPr>
                <w:rFonts w:ascii="Calibri" w:eastAsia="Times New Roman" w:hAnsi="Calibri" w:cs="Calibri"/>
                <w:color w:val="000000"/>
                <w:sz w:val="16"/>
                <w:szCs w:val="16"/>
                <w:lang w:eastAsia="pt-BR"/>
              </w:rPr>
            </w:pPr>
          </w:p>
        </w:tc>
      </w:tr>
    </w:tbl>
    <w:p w:rsidR="00A321B3" w:rsidRDefault="00A321B3" w:rsidP="00A321B3">
      <w:pPr>
        <w:rPr>
          <w:color w:val="FF0000"/>
          <w:sz w:val="20"/>
        </w:rPr>
        <w:sectPr w:rsidR="00A321B3" w:rsidSect="00A321B3">
          <w:pgSz w:w="16838" w:h="11906" w:orient="landscape"/>
          <w:pgMar w:top="1701" w:right="1417" w:bottom="1701" w:left="1417" w:header="708" w:footer="708" w:gutter="0"/>
          <w:cols w:space="708"/>
          <w:docGrid w:linePitch="360"/>
        </w:sectPr>
      </w:pPr>
    </w:p>
    <w:p w:rsidR="008931D3" w:rsidRPr="008931D3" w:rsidRDefault="008931D3">
      <w:pPr>
        <w:spacing w:after="0"/>
        <w:jc w:val="both"/>
        <w:rPr>
          <w:b/>
        </w:rPr>
      </w:pPr>
      <w:r w:rsidRPr="008931D3">
        <w:rPr>
          <w:b/>
        </w:rPr>
        <w:lastRenderedPageBreak/>
        <w:t>3 SOLICITAÇÃO DE ADITAMENTE DA VIGÊNCIA DO ONVÊNIO E DE UTILIZAÇÃO DE RECURSOS</w:t>
      </w:r>
    </w:p>
    <w:p w:rsidR="008931D3" w:rsidRDefault="008931D3">
      <w:pPr>
        <w:spacing w:after="0"/>
        <w:jc w:val="both"/>
      </w:pPr>
    </w:p>
    <w:p w:rsidR="008931D3" w:rsidRDefault="008931D3">
      <w:pPr>
        <w:spacing w:after="0"/>
        <w:jc w:val="both"/>
      </w:pPr>
      <w:r>
        <w:t xml:space="preserve">Considerando o andamento da execução das metas, conforme evidenciado no item anterior, fica visível que há as atividades estão em desenvolvimento, sendo que a primeira etapa a ser concluída é a de </w:t>
      </w:r>
    </w:p>
    <w:p w:rsidR="003F2BC9" w:rsidRDefault="003F2BC9">
      <w:pPr>
        <w:spacing w:after="0"/>
        <w:jc w:val="both"/>
      </w:pPr>
    </w:p>
    <w:p w:rsidR="003F2BC9" w:rsidRDefault="003F2BC9">
      <w:pPr>
        <w:spacing w:after="0"/>
        <w:jc w:val="both"/>
        <w:rPr>
          <w:b/>
        </w:rPr>
      </w:pPr>
      <w:r w:rsidRPr="003F2BC9">
        <w:rPr>
          <w:b/>
        </w:rPr>
        <w:t>4 ATIVIDADES DESENVOLVIDAS PELA COMISSÃO ESTADUAL DE PREVENÇÃO, PREPARAÇÃO E RESPOSTA RÁPIDA A EMERGÊNCIAS AMBIENTAIS COM PRODUTOS PERIGOSOS – CE P2R2 PARANÁ.</w:t>
      </w:r>
    </w:p>
    <w:p w:rsidR="003F2BC9" w:rsidRDefault="003F2BC9">
      <w:pPr>
        <w:spacing w:after="0"/>
        <w:jc w:val="both"/>
      </w:pPr>
    </w:p>
    <w:p w:rsidR="003F2BC9" w:rsidRDefault="003F2BC9">
      <w:pPr>
        <w:spacing w:after="0"/>
        <w:jc w:val="both"/>
      </w:pPr>
      <w:r>
        <w:t xml:space="preserve">No período de </w:t>
      </w:r>
      <w:r w:rsidR="002C0EAC">
        <w:t xml:space="preserve">maio de 2013 a maio de 2019, a Comissão Estadual P2R2 – PR realizou 30 reuniões da Comissão como um todo, sendo uma delas extraordinária. A partir de setembro de 2016 foram instituídos Grupos de Trabalho (GT), que realizaram, até o momento, 11 reuniões do GT Rodoviário, 5 do Ferroviário, 6 do </w:t>
      </w:r>
      <w:proofErr w:type="spellStart"/>
      <w:r w:rsidR="002C0EAC">
        <w:t>Aquaviário</w:t>
      </w:r>
      <w:proofErr w:type="spellEnd"/>
      <w:r w:rsidR="002C0EAC">
        <w:t xml:space="preserve">, 9 do Empresas, 6 do Insumos Agrícolas e 3 do Ensino. </w:t>
      </w:r>
    </w:p>
    <w:p w:rsidR="002C0EAC" w:rsidRDefault="002C0EAC">
      <w:pPr>
        <w:spacing w:after="0"/>
        <w:jc w:val="both"/>
      </w:pPr>
      <w:r>
        <w:t>Os principais assuntos abordados nas reuniões foram:</w:t>
      </w:r>
    </w:p>
    <w:p w:rsidR="002C0EAC" w:rsidRDefault="002C0EAC" w:rsidP="002C0EAC">
      <w:pPr>
        <w:pStyle w:val="PargrafodaLista"/>
        <w:numPr>
          <w:ilvl w:val="0"/>
          <w:numId w:val="2"/>
        </w:numPr>
        <w:spacing w:after="0"/>
        <w:jc w:val="both"/>
      </w:pPr>
      <w:r>
        <w:t>CEP2R2:</w:t>
      </w:r>
      <w:r w:rsidR="007C56BA">
        <w:t xml:space="preserve"> </w:t>
      </w:r>
      <w:r w:rsidR="00C3186E">
        <w:t xml:space="preserve">desenvolvimento de projetos pelo MMA e Banco Mundial; nivelamento dos participantes; Ações Integradas sobre Produtos Perigosos desenvolvidas em três municípios do Estado; desenvolvimento de protocolo de atendimento a emergências no modal rodoviário; </w:t>
      </w:r>
      <w:r w:rsidR="00ED1350">
        <w:t>Diretriz de fiscalização rodoviária e de empresas; deliberações sobre os comunicados técnicos; acompanhamento das ações dos GT.</w:t>
      </w:r>
    </w:p>
    <w:p w:rsidR="002C0EAC" w:rsidRDefault="002C0EAC" w:rsidP="002C0EAC">
      <w:pPr>
        <w:pStyle w:val="PargrafodaLista"/>
        <w:numPr>
          <w:ilvl w:val="0"/>
          <w:numId w:val="2"/>
        </w:numPr>
        <w:spacing w:after="0"/>
        <w:jc w:val="both"/>
      </w:pPr>
      <w:r>
        <w:t>GT</w:t>
      </w:r>
      <w:r w:rsidR="00F7318E">
        <w:t xml:space="preserve"> </w:t>
      </w:r>
      <w:r>
        <w:t xml:space="preserve">Rodoviário: </w:t>
      </w:r>
      <w:r w:rsidR="00F7318E">
        <w:t>estruturas disponíveis de fiscalização nas estradas, voltadas à diminuição de acidentes</w:t>
      </w:r>
      <w:r w:rsidR="00FB757E">
        <w:t xml:space="preserve"> como radares e redutores de velocidade</w:t>
      </w:r>
      <w:r w:rsidR="00F7318E">
        <w:t>; avaliação da possibilidade de aplicação e fiscalização por média de velocidade desenvolvida em trecho; modificações no curso do MOPP; implantação de área de escape na BR277 em direção ao litoral do Paraná, para a prevenção de acidentes; Ação de fiscalização integrada com o CODESUL – Conselho de Desenvolvimento Sul, envolvendo os Estados de RS, SC, MS com participação de SP como convidado.</w:t>
      </w:r>
    </w:p>
    <w:p w:rsidR="002C0EAC" w:rsidRDefault="002C0EAC" w:rsidP="002C0EAC">
      <w:pPr>
        <w:pStyle w:val="PargrafodaLista"/>
        <w:numPr>
          <w:ilvl w:val="0"/>
          <w:numId w:val="2"/>
        </w:numPr>
        <w:spacing w:after="0"/>
        <w:jc w:val="both"/>
      </w:pPr>
      <w:r>
        <w:t>GT Ferroviário:</w:t>
      </w:r>
      <w:r w:rsidR="00FB757E">
        <w:t xml:space="preserve"> estrutura disponível nas concessionárias de ferrovia para atendimento a emergências; protocolos de atendimento utilizados; desenvolvimento de protocolo de atendimento para o estado.</w:t>
      </w:r>
    </w:p>
    <w:p w:rsidR="002C0EAC" w:rsidRDefault="002C0EAC" w:rsidP="002C0EAC">
      <w:pPr>
        <w:pStyle w:val="PargrafodaLista"/>
        <w:numPr>
          <w:ilvl w:val="0"/>
          <w:numId w:val="2"/>
        </w:numPr>
        <w:spacing w:after="0"/>
        <w:jc w:val="both"/>
      </w:pPr>
      <w:r>
        <w:t xml:space="preserve">GT </w:t>
      </w:r>
      <w:proofErr w:type="spellStart"/>
      <w:r>
        <w:t>Aquaviário</w:t>
      </w:r>
      <w:proofErr w:type="spellEnd"/>
      <w:r>
        <w:t>:</w:t>
      </w:r>
      <w:r w:rsidR="00FB757E">
        <w:t xml:space="preserve"> estrutura disponível para atendimento a emergências no Porto; visita local no terminal de contêineres e no terminal público de líquidos inflamáveis para verificação da estrutura disponível e dos protocolos de atendimento existentes.</w:t>
      </w:r>
    </w:p>
    <w:p w:rsidR="002C0EAC" w:rsidRDefault="002C0EAC" w:rsidP="002C0EAC">
      <w:pPr>
        <w:pStyle w:val="PargrafodaLista"/>
        <w:numPr>
          <w:ilvl w:val="0"/>
          <w:numId w:val="2"/>
        </w:numPr>
        <w:spacing w:after="0"/>
        <w:jc w:val="both"/>
      </w:pPr>
      <w:r>
        <w:t>GT Empresas:</w:t>
      </w:r>
      <w:r w:rsidR="00F7318E">
        <w:t xml:space="preserve"> fiscalização </w:t>
      </w:r>
      <w:r w:rsidR="00F7318E">
        <w:rPr>
          <w:i/>
        </w:rPr>
        <w:t xml:space="preserve">in loco; </w:t>
      </w:r>
      <w:r w:rsidR="00F7318E">
        <w:t>desenvolvimento de protocolo para fiscalização de empresas; desenvolvimento de metodologia para a priorização das fiscalizações integradas.</w:t>
      </w:r>
    </w:p>
    <w:p w:rsidR="002C0EAC" w:rsidRDefault="002C0EAC" w:rsidP="002C0EAC">
      <w:pPr>
        <w:pStyle w:val="PargrafodaLista"/>
        <w:numPr>
          <w:ilvl w:val="0"/>
          <w:numId w:val="2"/>
        </w:numPr>
        <w:spacing w:after="0"/>
        <w:jc w:val="both"/>
      </w:pPr>
      <w:r>
        <w:t>GT Insumos Agrícolas:</w:t>
      </w:r>
      <w:r w:rsidR="00FB757E">
        <w:t xml:space="preserve"> Informações disponíveis nos sistemas de licenciamento e fiscalização pelos diferentes órgãos envolvidos, como IAP e ADAPAR; sistema integrado para a inserção de informações sobre agrotóxicos; agendamento de fiscalização integrada para a verificação de pontos sensíveis no que tange à contaminação por agrotóxicos.</w:t>
      </w:r>
    </w:p>
    <w:p w:rsidR="002C0EAC" w:rsidRDefault="002C0EAC" w:rsidP="002C0EAC">
      <w:pPr>
        <w:pStyle w:val="PargrafodaLista"/>
        <w:numPr>
          <w:ilvl w:val="0"/>
          <w:numId w:val="2"/>
        </w:numPr>
        <w:spacing w:after="0"/>
        <w:jc w:val="both"/>
      </w:pPr>
      <w:r>
        <w:t>GT Ensino:</w:t>
      </w:r>
      <w:r w:rsidR="00FB757E">
        <w:t xml:space="preserve"> formulário para verificação do nível de conhecimento dos motoristas de veículos de transporte de produtos perigosos.</w:t>
      </w:r>
    </w:p>
    <w:p w:rsidR="002C0EAC" w:rsidRDefault="002C0EAC">
      <w:pPr>
        <w:spacing w:after="0"/>
        <w:jc w:val="both"/>
      </w:pPr>
    </w:p>
    <w:p w:rsidR="002C0EAC" w:rsidRDefault="002C0EAC">
      <w:pPr>
        <w:spacing w:after="0"/>
        <w:jc w:val="both"/>
      </w:pPr>
      <w:r>
        <w:lastRenderedPageBreak/>
        <w:t xml:space="preserve">Além disso, foi promovido em 2013 o Seminário Ação Integrada sobre Produtos Perigosos, envolvendo diversas instituições, em especial PRF, que cedeu seus instrutores de fiscalização de produtos perigosos, SEST SENAT, que cedeu locais para a realização de capacitações, e Corpo de Bombeiros, que cedeu recursos para a realização dos simulados. A ação comportou capacitações de fiscalização rodoviária e fiscalização em empresas, com ações práticas de fiscalização em ambos os modais, assim como a realização </w:t>
      </w:r>
      <w:r w:rsidR="00586DF2">
        <w:t xml:space="preserve">de simulados de atendimento a emergências. </w:t>
      </w:r>
    </w:p>
    <w:p w:rsidR="00586DF2" w:rsidRDefault="00586DF2">
      <w:pPr>
        <w:spacing w:after="0"/>
        <w:jc w:val="both"/>
      </w:pPr>
    </w:p>
    <w:p w:rsidR="00586DF2" w:rsidRDefault="00586DF2">
      <w:pPr>
        <w:spacing w:after="0"/>
        <w:jc w:val="both"/>
      </w:pPr>
    </w:p>
    <w:p w:rsidR="00586DF2" w:rsidRPr="00C5745D" w:rsidRDefault="00C5745D">
      <w:pPr>
        <w:spacing w:after="0"/>
        <w:jc w:val="both"/>
        <w:rPr>
          <w:b/>
        </w:rPr>
      </w:pPr>
      <w:r w:rsidRPr="00C5745D">
        <w:rPr>
          <w:b/>
        </w:rPr>
        <w:t>5 CONSIDERAÇÕES FINAIS</w:t>
      </w:r>
    </w:p>
    <w:p w:rsidR="00C5745D" w:rsidRDefault="00C5745D">
      <w:pPr>
        <w:spacing w:after="0"/>
        <w:jc w:val="both"/>
      </w:pPr>
    </w:p>
    <w:p w:rsidR="00C5745D" w:rsidRDefault="00C5745D">
      <w:pPr>
        <w:spacing w:after="0"/>
        <w:jc w:val="both"/>
      </w:pPr>
      <w:r>
        <w:t>Em face do exposto, solicitamos o aditamento do convênio nº 793036/2013 para prosseguimentos das ações relativas à execução das metas.</w:t>
      </w:r>
    </w:p>
    <w:p w:rsidR="00C5745D" w:rsidRDefault="00C5745D">
      <w:pPr>
        <w:spacing w:after="0"/>
        <w:jc w:val="both"/>
      </w:pPr>
      <w:r>
        <w:t xml:space="preserve">Ressalta-se que houve a finalização das atividades </w:t>
      </w:r>
      <w:r w:rsidR="00A25024">
        <w:t>2.1, 2.2 e 5.3, e que as atividades 3.1, 4.1 e 5.1 estão em andamento</w:t>
      </w:r>
      <w:r>
        <w:t>.</w:t>
      </w:r>
    </w:p>
    <w:p w:rsidR="00C5745D" w:rsidRDefault="00C5745D">
      <w:pPr>
        <w:spacing w:after="0"/>
        <w:jc w:val="both"/>
      </w:pPr>
    </w:p>
    <w:p w:rsidR="00C5745D" w:rsidRDefault="00C5745D">
      <w:pPr>
        <w:spacing w:after="0"/>
        <w:jc w:val="both"/>
      </w:pPr>
      <w:r w:rsidRPr="00C5745D">
        <w:rPr>
          <w:b/>
        </w:rPr>
        <w:t>Solicitamos a prorrogação de vigência do convênio por um período de 24 meses</w:t>
      </w:r>
      <w:r>
        <w:t xml:space="preserve"> e autorização para prosseguimento do processo de aquisição dos equipamentos nos termos apresentados, inclusive utilizando recursos do rendimento do convênio, quando for o caso. </w:t>
      </w:r>
    </w:p>
    <w:p w:rsidR="00C5745D" w:rsidRDefault="00C5745D">
      <w:pPr>
        <w:spacing w:after="0"/>
        <w:jc w:val="both"/>
      </w:pPr>
      <w:r>
        <w:t xml:space="preserve">É imperioso ressaltar também que a aprovação do pleito é de fundamental importância para que os objetivos pactuados no convênio possam ser atingidos, sendo de extrema importância para o Estado do Paraná. </w:t>
      </w:r>
    </w:p>
    <w:p w:rsidR="00362CAF" w:rsidRDefault="00362CAF">
      <w:pPr>
        <w:spacing w:after="0"/>
        <w:jc w:val="both"/>
      </w:pPr>
    </w:p>
    <w:p w:rsidR="00362CAF" w:rsidRDefault="00362CAF" w:rsidP="00362CAF">
      <w:pPr>
        <w:spacing w:after="0"/>
        <w:jc w:val="right"/>
      </w:pPr>
    </w:p>
    <w:p w:rsidR="00362CAF" w:rsidRDefault="00362CAF" w:rsidP="00362CAF">
      <w:pPr>
        <w:spacing w:after="0"/>
        <w:jc w:val="center"/>
      </w:pPr>
      <w:r>
        <w:t>Curitiba, 4 de junho de 2019.</w:t>
      </w:r>
    </w:p>
    <w:p w:rsidR="00362CAF" w:rsidRDefault="00362CAF" w:rsidP="00362CAF">
      <w:pPr>
        <w:spacing w:after="0"/>
        <w:jc w:val="center"/>
      </w:pPr>
    </w:p>
    <w:p w:rsidR="00362CAF" w:rsidRDefault="00362CAF" w:rsidP="00362CAF">
      <w:pPr>
        <w:spacing w:after="0"/>
        <w:jc w:val="center"/>
      </w:pPr>
      <w:r>
        <w:t xml:space="preserve">Elton Rodrigues </w:t>
      </w:r>
    </w:p>
    <w:p w:rsidR="00362CAF" w:rsidRDefault="00362CAF" w:rsidP="00362CAF">
      <w:pPr>
        <w:spacing w:after="0"/>
        <w:jc w:val="center"/>
      </w:pPr>
      <w:r>
        <w:t>Gestor do Convênio</w:t>
      </w:r>
    </w:p>
    <w:p w:rsidR="00362CAF" w:rsidRPr="003F2BC9" w:rsidRDefault="00362CAF" w:rsidP="00362CAF">
      <w:pPr>
        <w:spacing w:after="0"/>
        <w:jc w:val="center"/>
      </w:pPr>
      <w:r>
        <w:t>SEDEST</w:t>
      </w:r>
    </w:p>
    <w:sectPr w:rsidR="00362CAF" w:rsidRPr="003F2BC9" w:rsidSect="00FC0A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6739"/>
    <w:multiLevelType w:val="hybridMultilevel"/>
    <w:tmpl w:val="983E11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57B16ADA"/>
    <w:multiLevelType w:val="hybridMultilevel"/>
    <w:tmpl w:val="1B6EC3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7C406E"/>
    <w:rsid w:val="00011351"/>
    <w:rsid w:val="0003698E"/>
    <w:rsid w:val="00046B86"/>
    <w:rsid w:val="000A16E1"/>
    <w:rsid w:val="000C08D4"/>
    <w:rsid w:val="001447B8"/>
    <w:rsid w:val="00153860"/>
    <w:rsid w:val="001A2571"/>
    <w:rsid w:val="001F651B"/>
    <w:rsid w:val="002B2EC1"/>
    <w:rsid w:val="002C0EAC"/>
    <w:rsid w:val="002C6251"/>
    <w:rsid w:val="00316E18"/>
    <w:rsid w:val="00362CAF"/>
    <w:rsid w:val="003F2BC9"/>
    <w:rsid w:val="004924C7"/>
    <w:rsid w:val="004E4A36"/>
    <w:rsid w:val="005610D5"/>
    <w:rsid w:val="00586DF2"/>
    <w:rsid w:val="005A6EBD"/>
    <w:rsid w:val="00694004"/>
    <w:rsid w:val="006E36D6"/>
    <w:rsid w:val="00733882"/>
    <w:rsid w:val="0073791E"/>
    <w:rsid w:val="007546A9"/>
    <w:rsid w:val="00757E0D"/>
    <w:rsid w:val="00764238"/>
    <w:rsid w:val="007C406E"/>
    <w:rsid w:val="007C56BA"/>
    <w:rsid w:val="00817C9D"/>
    <w:rsid w:val="008931D3"/>
    <w:rsid w:val="008E5BAC"/>
    <w:rsid w:val="009033D5"/>
    <w:rsid w:val="00906FAE"/>
    <w:rsid w:val="00911A14"/>
    <w:rsid w:val="00942CB2"/>
    <w:rsid w:val="009807D4"/>
    <w:rsid w:val="00981260"/>
    <w:rsid w:val="009A4BFC"/>
    <w:rsid w:val="009C2C76"/>
    <w:rsid w:val="009F402B"/>
    <w:rsid w:val="00A04F9F"/>
    <w:rsid w:val="00A25024"/>
    <w:rsid w:val="00A321B3"/>
    <w:rsid w:val="00A729E3"/>
    <w:rsid w:val="00AD333F"/>
    <w:rsid w:val="00BA5BD0"/>
    <w:rsid w:val="00C3186E"/>
    <w:rsid w:val="00C36ED1"/>
    <w:rsid w:val="00C5745D"/>
    <w:rsid w:val="00D24FEF"/>
    <w:rsid w:val="00D67436"/>
    <w:rsid w:val="00EC2249"/>
    <w:rsid w:val="00EC6A5A"/>
    <w:rsid w:val="00ED1350"/>
    <w:rsid w:val="00F7318E"/>
    <w:rsid w:val="00FB757E"/>
    <w:rsid w:val="00FC0A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6279C"/>
  <w15:docId w15:val="{2FDA46EE-B249-49DA-BE69-4D266797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A4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33882"/>
    <w:pPr>
      <w:ind w:left="720"/>
      <w:contextualSpacing/>
    </w:pPr>
  </w:style>
  <w:style w:type="character" w:styleId="Hyperlink">
    <w:name w:val="Hyperlink"/>
    <w:basedOn w:val="Fontepargpadro"/>
    <w:uiPriority w:val="99"/>
    <w:unhideWhenUsed/>
    <w:rsid w:val="002B2EC1"/>
    <w:rPr>
      <w:color w:val="0000FF"/>
      <w:u w:val="single"/>
    </w:rPr>
  </w:style>
  <w:style w:type="table" w:styleId="Tabelacomgrade">
    <w:name w:val="Table Grid"/>
    <w:basedOn w:val="Tabelanormal"/>
    <w:uiPriority w:val="59"/>
    <w:rsid w:val="00EC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562648">
      <w:bodyDiv w:val="1"/>
      <w:marLeft w:val="0"/>
      <w:marRight w:val="0"/>
      <w:marTop w:val="0"/>
      <w:marBottom w:val="0"/>
      <w:divBdr>
        <w:top w:val="none" w:sz="0" w:space="0" w:color="auto"/>
        <w:left w:val="none" w:sz="0" w:space="0" w:color="auto"/>
        <w:bottom w:val="none" w:sz="0" w:space="0" w:color="auto"/>
        <w:right w:val="none" w:sz="0" w:space="0" w:color="auto"/>
      </w:divBdr>
      <w:divsChild>
        <w:div w:id="235551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1793</TotalTime>
  <Pages>9</Pages>
  <Words>3087</Words>
  <Characters>16676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eltonsantos</dc:creator>
  <cp:lastModifiedBy>Marcos Vidal</cp:lastModifiedBy>
  <cp:revision>12</cp:revision>
  <dcterms:created xsi:type="dcterms:W3CDTF">2019-06-03T14:12:00Z</dcterms:created>
  <dcterms:modified xsi:type="dcterms:W3CDTF">2019-06-06T14:15:00Z</dcterms:modified>
</cp:coreProperties>
</file>