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FC8" w:rsidRPr="00A56E67" w:rsidRDefault="00490FC8" w:rsidP="00490FC8">
      <w:pPr>
        <w:pStyle w:val="NormalWeb"/>
        <w:spacing w:after="0" w:line="360" w:lineRule="auto"/>
        <w:jc w:val="center"/>
        <w:outlineLvl w:val="0"/>
        <w:rPr>
          <w:rFonts w:ascii="Arial" w:hAnsi="Arial" w:cs="Arial"/>
          <w:b/>
          <w:u w:val="single"/>
        </w:rPr>
      </w:pPr>
      <w:r w:rsidRPr="00A56E67">
        <w:rPr>
          <w:rFonts w:ascii="Arial" w:hAnsi="Arial" w:cs="Arial"/>
          <w:b/>
          <w:u w:val="single"/>
        </w:rPr>
        <w:t xml:space="preserve">TERMO DE REFERÊNCIA </w:t>
      </w:r>
    </w:p>
    <w:p w:rsidR="00490FC8" w:rsidRPr="00A56E67" w:rsidRDefault="00490FC8" w:rsidP="00490FC8">
      <w:pPr>
        <w:pStyle w:val="NormalWeb"/>
        <w:spacing w:after="0" w:line="360" w:lineRule="auto"/>
        <w:rPr>
          <w:rFonts w:ascii="Arial" w:hAnsi="Arial" w:cs="Arial"/>
          <w:b/>
          <w:bCs/>
        </w:rPr>
      </w:pPr>
    </w:p>
    <w:p w:rsidR="00490FC8" w:rsidRDefault="00490FC8" w:rsidP="00490FC8">
      <w:pPr>
        <w:spacing w:line="360" w:lineRule="auto"/>
        <w:ind w:firstLine="851"/>
        <w:jc w:val="both"/>
        <w:rPr>
          <w:rFonts w:ascii="Arial" w:hAnsi="Arial" w:cs="Arial"/>
          <w:b/>
          <w:u w:val="single"/>
        </w:rPr>
      </w:pPr>
      <w:r>
        <w:rPr>
          <w:rFonts w:ascii="Arial" w:hAnsi="Arial" w:cs="Arial"/>
          <w:b/>
          <w:u w:val="single"/>
        </w:rPr>
        <w:t>1.OBJETO</w:t>
      </w:r>
    </w:p>
    <w:p w:rsidR="00490FC8" w:rsidRPr="008C37E6" w:rsidRDefault="00490FC8" w:rsidP="00490FC8">
      <w:pPr>
        <w:spacing w:line="360" w:lineRule="auto"/>
        <w:ind w:firstLine="851"/>
        <w:jc w:val="both"/>
        <w:rPr>
          <w:rFonts w:ascii="Arial" w:hAnsi="Arial" w:cs="Arial"/>
        </w:rPr>
      </w:pPr>
    </w:p>
    <w:p w:rsidR="00490FC8" w:rsidRPr="008C37E6" w:rsidRDefault="00490FC8" w:rsidP="00490FC8">
      <w:pPr>
        <w:spacing w:line="360" w:lineRule="auto"/>
        <w:ind w:firstLine="851"/>
        <w:jc w:val="both"/>
        <w:rPr>
          <w:rFonts w:ascii="Arial" w:hAnsi="Arial" w:cs="Arial"/>
        </w:rPr>
      </w:pPr>
      <w:r w:rsidRPr="008C37E6">
        <w:rPr>
          <w:rFonts w:ascii="Arial" w:hAnsi="Arial" w:cs="Arial"/>
        </w:rPr>
        <w:t xml:space="preserve"> Pregão eletrônico para aquisição de materiais de atendimento a emergências com produtos perigosos para os Núcleos de Atendimento a Emergências com Produtos Perigosos, conforme as especificações técnicas discriminadas nos itens subsequentes.</w:t>
      </w:r>
    </w:p>
    <w:p w:rsidR="00490FC8" w:rsidRDefault="00490FC8" w:rsidP="00490FC8">
      <w:pPr>
        <w:spacing w:line="360" w:lineRule="auto"/>
        <w:ind w:firstLine="851"/>
        <w:jc w:val="both"/>
        <w:rPr>
          <w:rFonts w:ascii="Arial" w:hAnsi="Arial" w:cs="Arial"/>
          <w:b/>
          <w:u w:val="single"/>
        </w:rPr>
      </w:pPr>
    </w:p>
    <w:p w:rsidR="00490FC8" w:rsidRDefault="00490FC8" w:rsidP="00490FC8">
      <w:pPr>
        <w:spacing w:line="360" w:lineRule="auto"/>
        <w:ind w:firstLine="851"/>
        <w:jc w:val="both"/>
        <w:rPr>
          <w:rFonts w:ascii="Arial" w:hAnsi="Arial" w:cs="Arial"/>
          <w:b/>
          <w:u w:val="single"/>
        </w:rPr>
      </w:pPr>
      <w:r>
        <w:rPr>
          <w:rFonts w:ascii="Arial" w:hAnsi="Arial" w:cs="Arial"/>
          <w:b/>
          <w:u w:val="single"/>
        </w:rPr>
        <w:t>2. INTRODUÇÃO E CONTEXTUALIZAÇÃO</w:t>
      </w:r>
    </w:p>
    <w:p w:rsidR="00490FC8" w:rsidRDefault="00490FC8" w:rsidP="00490FC8">
      <w:pPr>
        <w:pStyle w:val="Default"/>
        <w:spacing w:line="360" w:lineRule="auto"/>
        <w:ind w:firstLine="709"/>
        <w:jc w:val="both"/>
      </w:pPr>
    </w:p>
    <w:p w:rsidR="00490FC8" w:rsidRPr="008C37E6" w:rsidRDefault="00490FC8" w:rsidP="00490FC8">
      <w:pPr>
        <w:pStyle w:val="Default"/>
        <w:spacing w:line="360" w:lineRule="auto"/>
        <w:ind w:firstLine="709"/>
        <w:jc w:val="both"/>
      </w:pPr>
      <w:r w:rsidRPr="008C37E6">
        <w:t>Os produtos perigosos são insumos da indústria química muito importantes para o desenvolvimento de várias atividades econômicas no Brasil. No entanto, juntamente com os benefícios que estes produtos podem traze</w:t>
      </w:r>
      <w:r>
        <w:t>r</w:t>
      </w:r>
      <w:r w:rsidRPr="008C37E6">
        <w:t xml:space="preserve">, vem também os riscos inerentes ao meio ambiente e à saúde humana. Há nove classes de produtos perigosos, cada uma com sua especificidade, porém todas possuem maior capacidade de trazer dano à sociedade maior que os materiais comuns. </w:t>
      </w:r>
    </w:p>
    <w:p w:rsidR="00490FC8" w:rsidRPr="008C37E6" w:rsidRDefault="00490FC8" w:rsidP="00490FC8">
      <w:pPr>
        <w:pStyle w:val="Default"/>
        <w:spacing w:line="360" w:lineRule="auto"/>
        <w:ind w:firstLine="709"/>
        <w:jc w:val="both"/>
      </w:pPr>
      <w:r w:rsidRPr="008C37E6">
        <w:t xml:space="preserve">As estatísticas de acidentes ambientais no Brasil mostram que a maioria dos eventos ocorre nas operações de transporte, fabricação e transbordo em terminais. Os produtos que predominam nos acidentes são os líquidos e gases inflamáveis. </w:t>
      </w:r>
    </w:p>
    <w:p w:rsidR="00490FC8" w:rsidRPr="008C37E6" w:rsidRDefault="00490FC8" w:rsidP="00490FC8">
      <w:pPr>
        <w:pStyle w:val="Default"/>
        <w:spacing w:line="360" w:lineRule="auto"/>
        <w:ind w:firstLine="709"/>
        <w:jc w:val="both"/>
      </w:pPr>
      <w:r w:rsidRPr="008C37E6">
        <w:t xml:space="preserve">Em decorrência deste grande risco os acidentes ambientais envolvendo estes produtos trazem muitos danos e prejuízos ao meio ambiente. As emergências com produtos perigosos como vazamentos, explosões, incêndios e emissões tóxicas podem causar graves lesões, queimaduras, intoxicações nas pessoas, contaminação de mananciais de água, danos aos ecossistemas, tais como incêndios florestais e mortandade de peixes. Eles têm o potencial de causar grande número de óbitos, elevado prejuízo econômico, atingir grandes áreas e produzir impactos de longa duração. </w:t>
      </w:r>
    </w:p>
    <w:p w:rsidR="00490FC8" w:rsidRPr="008C37E6" w:rsidRDefault="00490FC8" w:rsidP="00490FC8">
      <w:pPr>
        <w:pStyle w:val="Default"/>
        <w:spacing w:line="360" w:lineRule="auto"/>
        <w:ind w:firstLine="709"/>
        <w:jc w:val="both"/>
      </w:pPr>
      <w:r w:rsidRPr="008C37E6">
        <w:t xml:space="preserve">Com isto em mente, a Comissão Estadual de Prevenção, Preparação e Resposta Rápida a Emergências com Produtos Perigosos – CEP2R2 foi instituída através do Decreto Estadual nº 7.117/13, tendo “caráter consultivo e </w:t>
      </w:r>
      <w:r w:rsidRPr="008C37E6">
        <w:lastRenderedPageBreak/>
        <w:t>deliberativo no seu âmbito de atuação, com o objetivo de promover a discussão, a gestão, a</w:t>
      </w:r>
      <w:r>
        <w:t xml:space="preserve"> coordenação, o acompanhamento, a</w:t>
      </w:r>
      <w:r w:rsidRPr="008C37E6">
        <w:t xml:space="preserve"> avaliação e a implementação das atividades de Prevenção, Preparação e Resposta Rápida à Emergências Ambientais com Produtos Químicos Perigosos no Estado do Paraná, bem como propor normas, observadas as disposições legais vigentes”. Ou seja, foi instituída como instrumento para discutir as ações que devem ser implementadas visando garantir a segurança da sociedade e do meio ambiente em relação aos produtos perigosos. Apesar de já existir um grupo de discussão sobre produtos perigosos anterior à Comissão, esta trouxe também o alinhamento com a política nacional sobre o assunto. </w:t>
      </w:r>
    </w:p>
    <w:p w:rsidR="00490FC8" w:rsidRPr="008C37E6" w:rsidRDefault="00490FC8" w:rsidP="00490FC8">
      <w:pPr>
        <w:pStyle w:val="Default"/>
        <w:spacing w:line="360" w:lineRule="auto"/>
        <w:ind w:firstLine="709"/>
        <w:jc w:val="both"/>
      </w:pPr>
      <w:r w:rsidRPr="008C37E6">
        <w:t xml:space="preserve">As diretrizes da Comissão expostas no Decreto são: </w:t>
      </w:r>
    </w:p>
    <w:p w:rsidR="00490FC8" w:rsidRPr="008C37E6" w:rsidRDefault="00490FC8" w:rsidP="00490FC8">
      <w:pPr>
        <w:pStyle w:val="Default"/>
        <w:spacing w:line="360" w:lineRule="auto"/>
        <w:ind w:firstLine="709"/>
        <w:jc w:val="both"/>
      </w:pPr>
      <w:r w:rsidRPr="008C37E6">
        <w:t xml:space="preserve">I - Elaboração e constante atualização de planejamento preventivo que evite a ocorrência de acidentes com produtos perigosos; </w:t>
      </w:r>
    </w:p>
    <w:p w:rsidR="00490FC8" w:rsidRPr="008C37E6" w:rsidRDefault="00490FC8" w:rsidP="00490FC8">
      <w:pPr>
        <w:pStyle w:val="Default"/>
        <w:spacing w:line="360" w:lineRule="auto"/>
        <w:ind w:firstLine="709"/>
        <w:jc w:val="both"/>
      </w:pPr>
      <w:r w:rsidRPr="008C37E6">
        <w:t xml:space="preserve">II - Identificação dos aspectos legais e organizacionais pertinentes às emergências ambientais com produtos químicos perigosos; </w:t>
      </w:r>
    </w:p>
    <w:p w:rsidR="00490FC8" w:rsidRPr="008C37E6" w:rsidRDefault="00490FC8" w:rsidP="00490FC8">
      <w:pPr>
        <w:pStyle w:val="Default"/>
        <w:spacing w:line="360" w:lineRule="auto"/>
        <w:ind w:firstLine="709"/>
        <w:jc w:val="both"/>
      </w:pPr>
      <w:r w:rsidRPr="008C37E6">
        <w:t xml:space="preserve">III - Criação e operação de estrutura organizacional adequada ao cumprimento das metas e dos objetivos estabelecidos no P2R2; </w:t>
      </w:r>
    </w:p>
    <w:p w:rsidR="00490FC8" w:rsidRPr="008C37E6" w:rsidRDefault="00490FC8" w:rsidP="00490FC8">
      <w:pPr>
        <w:pStyle w:val="Default"/>
        <w:spacing w:line="360" w:lineRule="auto"/>
        <w:ind w:firstLine="709"/>
        <w:jc w:val="both"/>
      </w:pPr>
      <w:r w:rsidRPr="008C37E6">
        <w:t xml:space="preserve">IV - Estímulo à adoção de soluções inovadoras que assegurem a plena integração de esforços entre o Poder Público e a sociedade civil, especialmente no âmbito do Estado e Municípios; </w:t>
      </w:r>
    </w:p>
    <w:p w:rsidR="00490FC8" w:rsidRPr="008C37E6" w:rsidRDefault="00490FC8" w:rsidP="00490FC8">
      <w:pPr>
        <w:pStyle w:val="Default"/>
        <w:spacing w:line="360" w:lineRule="auto"/>
        <w:ind w:firstLine="709"/>
        <w:jc w:val="both"/>
      </w:pPr>
      <w:r w:rsidRPr="008C37E6">
        <w:t xml:space="preserve">V - Definição das responsabilidades respectivas do Poder Público e dos vetores privados em casos de emergências com produtos químicos perigosos, e dos compromissos a serem assumidos pelas partes no que diz respeito à proteção do meio ambiente, da segurança e saúde da população; </w:t>
      </w:r>
    </w:p>
    <w:p w:rsidR="00490FC8" w:rsidRPr="008C37E6" w:rsidRDefault="00490FC8" w:rsidP="00490FC8">
      <w:pPr>
        <w:pStyle w:val="Default"/>
        <w:spacing w:line="360" w:lineRule="auto"/>
        <w:ind w:firstLine="709"/>
        <w:jc w:val="both"/>
      </w:pPr>
      <w:r w:rsidRPr="008C37E6">
        <w:t xml:space="preserve">VI - Desenvolvimento e implementação de sistemas de geração e compilação de informações, essenciais à execução eficaz do P2R2, integrando as ações de controle, como licenciamento e fiscalização, e de atendimento a emergências, com atividades de produção, armazenamento, transporte e manipulação de produtos químicos perigosos, bem como assegurando ao cidadão o acesso à informação sobre os riscos de acidentes com referidos produtos; </w:t>
      </w:r>
    </w:p>
    <w:p w:rsidR="00490FC8" w:rsidRPr="008C37E6" w:rsidRDefault="00490FC8" w:rsidP="00490FC8">
      <w:pPr>
        <w:pStyle w:val="Default"/>
        <w:spacing w:line="360" w:lineRule="auto"/>
        <w:ind w:firstLine="709"/>
        <w:jc w:val="both"/>
      </w:pPr>
      <w:r w:rsidRPr="008C37E6">
        <w:t xml:space="preserve">VII - Mobilização de recursos humanos e financeiros apropriados e suficientes para assegurar os níveis de desempenho estabelecidos pelo P2R2; </w:t>
      </w:r>
    </w:p>
    <w:p w:rsidR="00490FC8" w:rsidRPr="008C37E6" w:rsidRDefault="00490FC8" w:rsidP="00490FC8">
      <w:pPr>
        <w:pStyle w:val="Default"/>
        <w:spacing w:line="360" w:lineRule="auto"/>
        <w:ind w:firstLine="709"/>
        <w:jc w:val="both"/>
      </w:pPr>
      <w:r w:rsidRPr="008C37E6">
        <w:lastRenderedPageBreak/>
        <w:t xml:space="preserve">VIII - Fortalecimento da capacidade de gestão ambiental integrada dos órgãos e instituições públicas no âmbito Federal, Distrital, Estadual e Municipal, para o desenvolvimento de planos de ações conjuntas no atendimento a situações emergenciais envolvendo produtos químicos perigosos, estabelecendo seus níveis de competência e otimizando a suficiência de recursos financeiros, humanos ou materiais, no sentido de ampliar a capacidade de resposta; e </w:t>
      </w:r>
    </w:p>
    <w:p w:rsidR="00490FC8" w:rsidRPr="008C37E6" w:rsidRDefault="00490FC8" w:rsidP="00490FC8">
      <w:pPr>
        <w:pStyle w:val="Default"/>
        <w:spacing w:line="360" w:lineRule="auto"/>
        <w:ind w:firstLine="709"/>
        <w:jc w:val="both"/>
      </w:pPr>
      <w:r w:rsidRPr="008C37E6">
        <w:t xml:space="preserve">IX - Aperfeiçoamento contínuo do P2R2 por meio de processo sistemático de auditoria e avaliação do desempenho e da revisão periódica das diretrizes, dos objetivos e das metas. </w:t>
      </w:r>
    </w:p>
    <w:p w:rsidR="00490FC8" w:rsidRPr="008C37E6" w:rsidRDefault="00490FC8" w:rsidP="00490FC8">
      <w:pPr>
        <w:pStyle w:val="Default"/>
        <w:spacing w:line="360" w:lineRule="auto"/>
        <w:ind w:firstLine="709"/>
        <w:jc w:val="both"/>
      </w:pPr>
      <w:r w:rsidRPr="008C37E6">
        <w:t xml:space="preserve">Foi exatamente esta a estrutura que mobilizou a discussão entre os vários órgãos que a compõe e a apresentação do presente projeto, assim como será responsável pelas ações de efetivação e implementação do projeto. </w:t>
      </w:r>
    </w:p>
    <w:p w:rsidR="00490FC8" w:rsidRPr="008C37E6" w:rsidRDefault="00490FC8" w:rsidP="00490FC8">
      <w:pPr>
        <w:spacing w:line="360" w:lineRule="auto"/>
        <w:ind w:firstLine="851"/>
        <w:jc w:val="both"/>
        <w:rPr>
          <w:rFonts w:ascii="Arial" w:hAnsi="Arial" w:cs="Arial"/>
          <w:b/>
          <w:u w:val="single"/>
        </w:rPr>
      </w:pPr>
      <w:r w:rsidRPr="008C37E6">
        <w:rPr>
          <w:rFonts w:ascii="Arial" w:hAnsi="Arial" w:cs="Arial"/>
        </w:rPr>
        <w:t>Com isto, pretende-se criar uma estrutura mais adequada no Estado para a segurança da popu</w:t>
      </w:r>
      <w:r>
        <w:rPr>
          <w:rFonts w:ascii="Arial" w:hAnsi="Arial" w:cs="Arial"/>
        </w:rPr>
        <w:t>lação e do</w:t>
      </w:r>
      <w:r w:rsidRPr="008C37E6">
        <w:rPr>
          <w:rFonts w:ascii="Arial" w:hAnsi="Arial" w:cs="Arial"/>
        </w:rPr>
        <w:t xml:space="preserve"> meio ambiente como um todo acerca dos produtos perigosos.</w:t>
      </w:r>
    </w:p>
    <w:p w:rsidR="00490FC8" w:rsidRDefault="00490FC8" w:rsidP="00490FC8">
      <w:pPr>
        <w:spacing w:line="360" w:lineRule="auto"/>
        <w:ind w:firstLine="851"/>
        <w:jc w:val="both"/>
        <w:rPr>
          <w:rFonts w:ascii="Arial" w:hAnsi="Arial" w:cs="Arial"/>
          <w:b/>
          <w:u w:val="single"/>
        </w:rPr>
      </w:pPr>
    </w:p>
    <w:p w:rsidR="00490FC8" w:rsidRDefault="00490FC8" w:rsidP="00490FC8">
      <w:pPr>
        <w:spacing w:line="360" w:lineRule="auto"/>
        <w:ind w:firstLine="851"/>
        <w:jc w:val="both"/>
        <w:rPr>
          <w:rFonts w:ascii="Arial" w:hAnsi="Arial" w:cs="Arial"/>
          <w:szCs w:val="22"/>
        </w:rPr>
      </w:pPr>
      <w:r>
        <w:rPr>
          <w:rFonts w:ascii="Arial" w:hAnsi="Arial" w:cs="Arial"/>
          <w:b/>
          <w:u w:val="single"/>
        </w:rPr>
        <w:t>3. JUSTIFICATIVA</w:t>
      </w:r>
    </w:p>
    <w:p w:rsidR="00490FC8" w:rsidRDefault="00490FC8" w:rsidP="00490FC8">
      <w:pPr>
        <w:pStyle w:val="Default"/>
        <w:spacing w:line="360" w:lineRule="auto"/>
        <w:ind w:firstLine="709"/>
        <w:jc w:val="both"/>
      </w:pPr>
    </w:p>
    <w:p w:rsidR="00490FC8" w:rsidRPr="008C37E6" w:rsidRDefault="00490FC8" w:rsidP="00490FC8">
      <w:pPr>
        <w:pStyle w:val="Default"/>
        <w:spacing w:line="360" w:lineRule="auto"/>
        <w:ind w:firstLine="709"/>
        <w:jc w:val="both"/>
      </w:pPr>
      <w:r w:rsidRPr="008C37E6">
        <w:t xml:space="preserve">O Estado do Paraná possui características relevantes quanto ao manejo e transporte de produtos perigosos, pois, devido a sua localização e características de infraestrutura e logística, ele se configura como um “corredor” para o transporte de produtos químicos que se destinam à região norte e sul do Brasil, sejam os expedidos do Rio Grande do Sul, sejam os oriundos de São Paulo e de outros estados, e até mesmo de outros países. </w:t>
      </w:r>
    </w:p>
    <w:p w:rsidR="00490FC8" w:rsidRPr="008C37E6" w:rsidRDefault="00490FC8" w:rsidP="00490FC8">
      <w:pPr>
        <w:pStyle w:val="Default"/>
        <w:spacing w:line="360" w:lineRule="auto"/>
        <w:ind w:firstLine="709"/>
        <w:jc w:val="both"/>
      </w:pPr>
      <w:r w:rsidRPr="008C37E6">
        <w:t>Além disso, o Estado do Paraná apresenta um importante histórico de grandes acidentes ambientais envolvendo produtos perigosos como: a explosão no Navio VICUNÃ, no porto de Paranaguá, que culminou com o vazamento de milhares de litros de óleo na baía de Paranaguá; o acidente no oleoduto – Olapa, na Serra do Mar, próximo ao município de Morretes; o acidente envolvendo um caminhão de óleo ocorrido no município de Cascavel, em 2011, que atingiu o rio de mesmo nome, causando danos significativos nos recursos hídricos, forçando a paralisação e debilitando a operação do sistema de abastecimento de água da regi</w:t>
      </w:r>
      <w:r>
        <w:t>ão durante quatro dias.</w:t>
      </w:r>
      <w:r w:rsidRPr="008C37E6">
        <w:t xml:space="preserve"> No período entre os anos de 2004 e 2012, o plantão </w:t>
      </w:r>
      <w:r w:rsidRPr="008C37E6">
        <w:lastRenderedPageBreak/>
        <w:t>de emergências ambientais da Companhia de Saneamento do Paraná (SANEPAR) foi acionado em 229 acidentes no transporte rodoviário de produtos perigosos. Apenas no acidente que atingiu o Rio Cascavel, manancial do município de Cascavel-PR, em 19/02/2011, houve prejuízos significativos aos recursos hídricos, paralisação e operação debilitada do sistema de abastecimento de água durante 4</w:t>
      </w:r>
      <w:r>
        <w:t xml:space="preserve"> dias, afetando 270.000 pessoas</w:t>
      </w:r>
      <w:r w:rsidRPr="008C37E6">
        <w:t xml:space="preserve"> e causando prejuízos econômicos, apenas no setor de saneamento, de R$ 249.813,77. </w:t>
      </w:r>
    </w:p>
    <w:p w:rsidR="00490FC8" w:rsidRPr="008C37E6" w:rsidRDefault="00490FC8" w:rsidP="00490FC8">
      <w:pPr>
        <w:spacing w:after="200" w:line="360" w:lineRule="auto"/>
        <w:ind w:firstLine="709"/>
        <w:jc w:val="both"/>
        <w:rPr>
          <w:rFonts w:ascii="Arial" w:hAnsi="Arial" w:cs="Arial"/>
        </w:rPr>
      </w:pPr>
      <w:r w:rsidRPr="008C37E6">
        <w:rPr>
          <w:rFonts w:ascii="Arial" w:hAnsi="Arial" w:cs="Arial"/>
        </w:rPr>
        <w:t>Outro fator preocupante é a quantidade de pessoas afetadas nas emergências com produtos químicos perigosos, que nos últimos cinco anos chegou a aproximadamente 38 mil pessoas, sendo 128 pessoas mortas ou feridas segundo dados da Coordenadoria Estadual de Proteção e Defesa Civil (CEPDEC).</w:t>
      </w:r>
    </w:p>
    <w:p w:rsidR="00490FC8" w:rsidRDefault="00490FC8" w:rsidP="00490FC8">
      <w:pPr>
        <w:spacing w:line="360" w:lineRule="auto"/>
        <w:ind w:firstLine="851"/>
        <w:jc w:val="both"/>
        <w:rPr>
          <w:rFonts w:ascii="Arial" w:hAnsi="Arial" w:cs="Arial"/>
        </w:rPr>
      </w:pPr>
    </w:p>
    <w:tbl>
      <w:tblPr>
        <w:tblW w:w="0" w:type="auto"/>
        <w:tblLook w:val="04A0" w:firstRow="1" w:lastRow="0" w:firstColumn="1" w:lastColumn="0" w:noHBand="0" w:noVBand="1"/>
      </w:tblPr>
      <w:tblGrid>
        <w:gridCol w:w="4111"/>
        <w:gridCol w:w="4393"/>
      </w:tblGrid>
      <w:tr w:rsidR="00490FC8" w:rsidTr="004F4346">
        <w:tc>
          <w:tcPr>
            <w:tcW w:w="4492" w:type="dxa"/>
            <w:shd w:val="clear" w:color="auto" w:fill="auto"/>
            <w:hideMark/>
          </w:tcPr>
          <w:p w:rsidR="00490FC8" w:rsidRPr="00267ECF" w:rsidRDefault="00490FC8" w:rsidP="004F4346">
            <w:pPr>
              <w:jc w:val="center"/>
              <w:rPr>
                <w:rFonts w:ascii="Arial" w:hAnsi="Arial" w:cs="Arial"/>
                <w:b/>
                <w:bCs/>
                <w:sz w:val="22"/>
                <w:szCs w:val="22"/>
              </w:rPr>
            </w:pPr>
            <w:r w:rsidRPr="00267ECF">
              <w:rPr>
                <w:rFonts w:ascii="Arial" w:hAnsi="Arial" w:cs="Arial"/>
                <w:b/>
                <w:bCs/>
                <w:noProof/>
                <w:sz w:val="22"/>
                <w:szCs w:val="22"/>
                <w:lang w:eastAsia="pt-BR"/>
              </w:rPr>
              <w:drawing>
                <wp:inline distT="0" distB="0" distL="0" distR="0">
                  <wp:extent cx="2120900" cy="168910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0" cy="1689100"/>
                          </a:xfrm>
                          <a:prstGeom prst="rect">
                            <a:avLst/>
                          </a:prstGeom>
                          <a:solidFill>
                            <a:srgbClr val="FFFFFF"/>
                          </a:solidFill>
                          <a:ln>
                            <a:noFill/>
                          </a:ln>
                        </pic:spPr>
                      </pic:pic>
                    </a:graphicData>
                  </a:graphic>
                </wp:inline>
              </w:drawing>
            </w:r>
          </w:p>
        </w:tc>
        <w:tc>
          <w:tcPr>
            <w:tcW w:w="4493" w:type="dxa"/>
            <w:shd w:val="clear" w:color="auto" w:fill="auto"/>
            <w:hideMark/>
          </w:tcPr>
          <w:p w:rsidR="00490FC8" w:rsidRPr="00267ECF" w:rsidRDefault="00490FC8" w:rsidP="004F4346">
            <w:pPr>
              <w:jc w:val="center"/>
              <w:rPr>
                <w:rFonts w:ascii="Arial" w:hAnsi="Arial" w:cs="Arial"/>
                <w:b/>
                <w:bCs/>
                <w:sz w:val="22"/>
                <w:szCs w:val="22"/>
              </w:rPr>
            </w:pPr>
            <w:r w:rsidRPr="00267ECF">
              <w:rPr>
                <w:rFonts w:ascii="Arial" w:hAnsi="Arial" w:cs="Arial"/>
                <w:b/>
                <w:bCs/>
                <w:noProof/>
                <w:sz w:val="22"/>
                <w:szCs w:val="22"/>
                <w:lang w:eastAsia="pt-BR"/>
              </w:rPr>
              <w:drawing>
                <wp:inline distT="0" distB="0" distL="0" distR="0">
                  <wp:extent cx="2559050" cy="1695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0" cy="1695450"/>
                          </a:xfrm>
                          <a:prstGeom prst="rect">
                            <a:avLst/>
                          </a:prstGeom>
                          <a:solidFill>
                            <a:srgbClr val="FFFFFF"/>
                          </a:solidFill>
                          <a:ln>
                            <a:noFill/>
                          </a:ln>
                        </pic:spPr>
                      </pic:pic>
                    </a:graphicData>
                  </a:graphic>
                </wp:inline>
              </w:drawing>
            </w:r>
          </w:p>
        </w:tc>
      </w:tr>
      <w:tr w:rsidR="00490FC8" w:rsidTr="004F4346">
        <w:tc>
          <w:tcPr>
            <w:tcW w:w="4492" w:type="dxa"/>
            <w:shd w:val="clear" w:color="auto" w:fill="auto"/>
          </w:tcPr>
          <w:p w:rsidR="00490FC8" w:rsidRPr="008C37E6" w:rsidRDefault="00490FC8" w:rsidP="004F4346">
            <w:pPr>
              <w:jc w:val="center"/>
              <w:rPr>
                <w:rFonts w:ascii="Arial" w:hAnsi="Arial" w:cs="Arial"/>
                <w:b/>
                <w:bCs/>
                <w:noProof/>
                <w:sz w:val="14"/>
                <w:szCs w:val="22"/>
                <w:lang w:eastAsia="pt-BR"/>
              </w:rPr>
            </w:pPr>
          </w:p>
        </w:tc>
        <w:tc>
          <w:tcPr>
            <w:tcW w:w="4493" w:type="dxa"/>
            <w:shd w:val="clear" w:color="auto" w:fill="auto"/>
          </w:tcPr>
          <w:p w:rsidR="00490FC8" w:rsidRPr="00267ECF" w:rsidRDefault="00490FC8" w:rsidP="004F4346">
            <w:pPr>
              <w:jc w:val="center"/>
              <w:rPr>
                <w:rFonts w:ascii="Arial" w:hAnsi="Arial" w:cs="Arial"/>
                <w:b/>
                <w:bCs/>
                <w:noProof/>
                <w:sz w:val="22"/>
                <w:szCs w:val="22"/>
                <w:lang w:eastAsia="pt-BR"/>
              </w:rPr>
            </w:pPr>
          </w:p>
        </w:tc>
      </w:tr>
      <w:tr w:rsidR="00490FC8" w:rsidRPr="0090664F" w:rsidTr="004F4346">
        <w:tc>
          <w:tcPr>
            <w:tcW w:w="4492" w:type="dxa"/>
            <w:shd w:val="clear" w:color="auto" w:fill="F2F2F2"/>
            <w:vAlign w:val="center"/>
            <w:hideMark/>
          </w:tcPr>
          <w:p w:rsidR="00490FC8" w:rsidRPr="00267ECF" w:rsidRDefault="00490FC8" w:rsidP="004F4346">
            <w:pPr>
              <w:jc w:val="center"/>
              <w:rPr>
                <w:rFonts w:ascii="Arial" w:hAnsi="Arial" w:cs="Arial"/>
                <w:b/>
                <w:bCs/>
                <w:sz w:val="20"/>
                <w:szCs w:val="22"/>
              </w:rPr>
            </w:pPr>
            <w:r w:rsidRPr="00267ECF">
              <w:rPr>
                <w:rFonts w:ascii="Arial" w:hAnsi="Arial" w:cs="Arial"/>
                <w:bCs/>
                <w:sz w:val="20"/>
                <w:szCs w:val="22"/>
              </w:rPr>
              <w:t>Explosão Navio Vicunã – Paranaguá</w:t>
            </w:r>
          </w:p>
        </w:tc>
        <w:tc>
          <w:tcPr>
            <w:tcW w:w="4493" w:type="dxa"/>
            <w:shd w:val="clear" w:color="auto" w:fill="F2F2F2"/>
            <w:vAlign w:val="center"/>
          </w:tcPr>
          <w:p w:rsidR="00490FC8" w:rsidRPr="00267ECF" w:rsidRDefault="00490FC8" w:rsidP="004F4346">
            <w:pPr>
              <w:jc w:val="center"/>
              <w:rPr>
                <w:rFonts w:ascii="Arial" w:hAnsi="Arial" w:cs="Arial"/>
                <w:sz w:val="20"/>
                <w:szCs w:val="22"/>
              </w:rPr>
            </w:pPr>
            <w:r w:rsidRPr="00267ECF">
              <w:rPr>
                <w:rFonts w:ascii="Arial" w:hAnsi="Arial" w:cs="Arial"/>
                <w:sz w:val="20"/>
                <w:szCs w:val="22"/>
              </w:rPr>
              <w:t>Vazamento Óleo Duto – OLAPA, Morretes</w:t>
            </w:r>
          </w:p>
        </w:tc>
      </w:tr>
      <w:tr w:rsidR="00490FC8" w:rsidTr="004F4346">
        <w:tc>
          <w:tcPr>
            <w:tcW w:w="8985" w:type="dxa"/>
            <w:gridSpan w:val="2"/>
            <w:shd w:val="clear" w:color="auto" w:fill="auto"/>
            <w:hideMark/>
          </w:tcPr>
          <w:p w:rsidR="00490FC8" w:rsidRPr="00267ECF" w:rsidRDefault="00490FC8" w:rsidP="004F4346">
            <w:pPr>
              <w:spacing w:line="360" w:lineRule="auto"/>
              <w:jc w:val="center"/>
              <w:rPr>
                <w:rFonts w:ascii="Arial" w:hAnsi="Arial" w:cs="Arial"/>
                <w:b/>
                <w:bCs/>
                <w:sz w:val="22"/>
                <w:szCs w:val="22"/>
              </w:rPr>
            </w:pPr>
          </w:p>
          <w:p w:rsidR="00490FC8" w:rsidRPr="00267ECF" w:rsidRDefault="00490FC8" w:rsidP="004F4346">
            <w:pPr>
              <w:spacing w:line="360" w:lineRule="auto"/>
              <w:jc w:val="center"/>
              <w:rPr>
                <w:rFonts w:ascii="Arial" w:hAnsi="Arial" w:cs="Arial"/>
                <w:b/>
                <w:bCs/>
                <w:sz w:val="22"/>
                <w:szCs w:val="22"/>
              </w:rPr>
            </w:pPr>
            <w:r w:rsidRPr="00267ECF">
              <w:rPr>
                <w:rFonts w:ascii="Arial" w:hAnsi="Arial" w:cs="Arial"/>
                <w:b/>
                <w:bCs/>
                <w:noProof/>
                <w:sz w:val="22"/>
                <w:szCs w:val="22"/>
                <w:lang w:eastAsia="pt-BR"/>
              </w:rPr>
              <w:drawing>
                <wp:inline distT="0" distB="0" distL="0" distR="0">
                  <wp:extent cx="2254250" cy="16891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4250" cy="1689100"/>
                          </a:xfrm>
                          <a:prstGeom prst="rect">
                            <a:avLst/>
                          </a:prstGeom>
                          <a:solidFill>
                            <a:srgbClr val="FFFFFF"/>
                          </a:solidFill>
                          <a:ln>
                            <a:noFill/>
                          </a:ln>
                        </pic:spPr>
                      </pic:pic>
                    </a:graphicData>
                  </a:graphic>
                </wp:inline>
              </w:drawing>
            </w:r>
          </w:p>
        </w:tc>
      </w:tr>
      <w:tr w:rsidR="00490FC8" w:rsidRPr="0090664F" w:rsidTr="004F4346">
        <w:trPr>
          <w:trHeight w:val="759"/>
        </w:trPr>
        <w:tc>
          <w:tcPr>
            <w:tcW w:w="8985" w:type="dxa"/>
            <w:gridSpan w:val="2"/>
            <w:shd w:val="clear" w:color="auto" w:fill="F2F2F2"/>
            <w:hideMark/>
          </w:tcPr>
          <w:p w:rsidR="00490FC8" w:rsidRPr="00267ECF" w:rsidRDefault="00490FC8" w:rsidP="004F4346">
            <w:pPr>
              <w:spacing w:line="360" w:lineRule="auto"/>
              <w:jc w:val="center"/>
              <w:rPr>
                <w:rFonts w:ascii="Arial" w:hAnsi="Arial" w:cs="Arial"/>
                <w:b/>
                <w:bCs/>
                <w:sz w:val="20"/>
                <w:szCs w:val="22"/>
              </w:rPr>
            </w:pPr>
            <w:r w:rsidRPr="00267ECF">
              <w:rPr>
                <w:rFonts w:ascii="Arial" w:hAnsi="Arial" w:cs="Arial"/>
                <w:bCs/>
                <w:sz w:val="20"/>
                <w:szCs w:val="22"/>
              </w:rPr>
              <w:t>Contaminação de rio por produto perigoso – Cascavel</w:t>
            </w:r>
          </w:p>
          <w:p w:rsidR="00490FC8" w:rsidRPr="00267ECF" w:rsidRDefault="00490FC8" w:rsidP="004F4346">
            <w:pPr>
              <w:spacing w:line="360" w:lineRule="auto"/>
              <w:jc w:val="center"/>
              <w:rPr>
                <w:rFonts w:ascii="Arial" w:hAnsi="Arial" w:cs="Arial"/>
                <w:b/>
                <w:bCs/>
                <w:sz w:val="20"/>
                <w:szCs w:val="22"/>
              </w:rPr>
            </w:pPr>
            <w:r w:rsidRPr="00267ECF">
              <w:rPr>
                <w:rFonts w:ascii="Arial" w:hAnsi="Arial" w:cs="Arial"/>
                <w:bCs/>
                <w:sz w:val="20"/>
                <w:szCs w:val="22"/>
              </w:rPr>
              <w:t>Fonte: 4º Grupamento de Bombeiros</w:t>
            </w:r>
          </w:p>
        </w:tc>
      </w:tr>
    </w:tbl>
    <w:p w:rsidR="00490FC8" w:rsidRPr="00720F24" w:rsidRDefault="00490FC8" w:rsidP="00490FC8">
      <w:pPr>
        <w:spacing w:after="200" w:line="276" w:lineRule="auto"/>
        <w:ind w:left="426"/>
        <w:jc w:val="both"/>
        <w:rPr>
          <w:rFonts w:ascii="Arial" w:hAnsi="Arial" w:cs="Arial"/>
        </w:rPr>
      </w:pPr>
    </w:p>
    <w:p w:rsidR="00490FC8" w:rsidRPr="008C37E6" w:rsidRDefault="00490FC8" w:rsidP="00490FC8">
      <w:pPr>
        <w:pStyle w:val="Default"/>
        <w:spacing w:line="360" w:lineRule="auto"/>
        <w:ind w:firstLine="709"/>
        <w:jc w:val="both"/>
      </w:pPr>
      <w:r w:rsidRPr="008C37E6">
        <w:t xml:space="preserve">Para execução das ações de prevenção, preparação e resposta aos acidentes </w:t>
      </w:r>
      <w:r>
        <w:t>com produtos químicos perigosos</w:t>
      </w:r>
      <w:r w:rsidRPr="008C37E6">
        <w:t xml:space="preserve"> é necessário o envolvimento e </w:t>
      </w:r>
      <w:r w:rsidRPr="008C37E6">
        <w:lastRenderedPageBreak/>
        <w:t>atuação de diversas instituições – Corpo de Bombeiros, Serviço de Atendimento</w:t>
      </w:r>
      <w:r>
        <w:t xml:space="preserve"> </w:t>
      </w:r>
      <w:r w:rsidRPr="008C37E6">
        <w:t xml:space="preserve">Médico de Urgência (SAMU), hospitais, Vigilância Sanitária, Instituto Ambiental do Paraná (IAP), Polícia Rodoviária, Defesa Civil etc., que devem se articular de forma harmoniosa. </w:t>
      </w:r>
    </w:p>
    <w:p w:rsidR="00490FC8" w:rsidRPr="008C37E6" w:rsidRDefault="00490FC8" w:rsidP="00490FC8">
      <w:pPr>
        <w:pStyle w:val="Default"/>
        <w:spacing w:line="360" w:lineRule="auto"/>
        <w:ind w:firstLine="709"/>
        <w:jc w:val="both"/>
      </w:pPr>
      <w:r w:rsidRPr="008C37E6">
        <w:t xml:space="preserve">Nesse sentido, o Decreto Federal nº 5.098, de 3 de junho de 2004, criou o “Plano Nacional de Prevenção, Preparação e Resposta Rápida a Emergências Ambientais com Produtos Químicos Perigosos – Plano P2R2”, que tem como objetivo prevenir a ocorrência de acidentes com produtos químicos perigosos e aprimorar o sistema de preparação e resposta a emergências químicas no país. </w:t>
      </w:r>
    </w:p>
    <w:p w:rsidR="00490FC8" w:rsidRPr="008C37E6" w:rsidRDefault="00490FC8" w:rsidP="00490FC8">
      <w:pPr>
        <w:pStyle w:val="Default"/>
        <w:spacing w:line="360" w:lineRule="auto"/>
        <w:ind w:firstLine="709"/>
        <w:jc w:val="both"/>
      </w:pPr>
      <w:r w:rsidRPr="008C37E6">
        <w:t xml:space="preserve">Entre as diretrizes da Comissão Estadual P2R2, destaca-se o “fortalecimento da capacidade de gestão ambiental integrada dos órgãos e instituições públicas no âmbito Federal, Distrital, Estadual e Municipal, para o desenvolvimento de planos de ações conjuntas no atendimento a situações emergenciais envolvendo produtos químicos perigosos, estabelecendo seus níveis de competência e otimizando a suficiência de recursos financeiros, humanos ou materiais, no sentido de ampliar a capacidade de resposta”. </w:t>
      </w:r>
    </w:p>
    <w:p w:rsidR="00490FC8" w:rsidRPr="008C37E6" w:rsidRDefault="00490FC8" w:rsidP="00490FC8">
      <w:pPr>
        <w:pStyle w:val="Default"/>
        <w:spacing w:line="360" w:lineRule="auto"/>
        <w:ind w:firstLine="709"/>
        <w:jc w:val="both"/>
      </w:pPr>
      <w:r>
        <w:t>Desta forma</w:t>
      </w:r>
      <w:r w:rsidRPr="008C37E6">
        <w:t xml:space="preserve"> é necessária uma estrutura que auxilie na prevenção, preparação e resposta a emergências. A Defesa Civil do Estado do Paraná estruturou e mantém atualizado o “Sistema Informatizado da Defesa Civil” (SISDC) – um sistema digital que detém registro das informações relativas às ocorrências desastrosas no estado – de origem natural e tecnológica - abrangendo, também, àquelas ocorrências relacionadas com produtos químicos perigosos. Além disso, o SISDC apresenta informações sobre os danos ambientais ocorridos, acerca das estruturas físicas existentes, que podem ou não ser afetadas em caso de sinistro; as estruturas de resposta disponíveis etc. </w:t>
      </w:r>
    </w:p>
    <w:p w:rsidR="00490FC8" w:rsidRPr="008C37E6" w:rsidRDefault="00490FC8" w:rsidP="00490FC8">
      <w:pPr>
        <w:pStyle w:val="Default"/>
        <w:spacing w:line="360" w:lineRule="auto"/>
        <w:ind w:firstLine="709"/>
        <w:jc w:val="both"/>
      </w:pPr>
      <w:r w:rsidRPr="008C37E6">
        <w:t xml:space="preserve">A construção do SISDC permitiu estruturar uma base de dados bastante relevante para o conhecimento dos danos e prejuízos advindos das catástrofes com produtos perigosos, bem como de uma fonte de informações estatísticas relevante. </w:t>
      </w:r>
    </w:p>
    <w:p w:rsidR="00490FC8" w:rsidRPr="008C37E6" w:rsidRDefault="00490FC8" w:rsidP="00490FC8">
      <w:pPr>
        <w:pStyle w:val="Default"/>
        <w:spacing w:line="360" w:lineRule="auto"/>
        <w:ind w:firstLine="709"/>
        <w:jc w:val="both"/>
      </w:pPr>
      <w:r w:rsidRPr="008C37E6">
        <w:t xml:space="preserve">Apesar dos esforços das instituições envolvidas, atualmente, a especialização na prevenção, preparação e resposta a emergências com produtos químicos perigosos é ainda restrita no estado. </w:t>
      </w:r>
    </w:p>
    <w:p w:rsidR="00490FC8" w:rsidRPr="008C37E6" w:rsidRDefault="00490FC8" w:rsidP="00490FC8">
      <w:pPr>
        <w:pStyle w:val="Default"/>
        <w:spacing w:line="360" w:lineRule="auto"/>
        <w:ind w:firstLine="709"/>
        <w:jc w:val="both"/>
      </w:pPr>
      <w:r w:rsidRPr="008C37E6">
        <w:t xml:space="preserve">Para que as ações referentes a prevenção, preparação e resposta sejam mais qualificadas e eficientes, é necessário aprimorar os conhecimentos </w:t>
      </w:r>
      <w:r w:rsidRPr="008C37E6">
        <w:lastRenderedPageBreak/>
        <w:t xml:space="preserve">técnicos e as habilidades de gestão específicas nessa área, abrangendo todas as instituições envolvidas, bem como a construção de uma rede de atendimento esparsa ao longo do território paranaense, descentralizando e capacitando agentes em todo o estado, tornando mais acessível o atendimento especializado, com conhecimento técnico, com material adequado, por meio de protocolos padronizados de atendimento a emergências. </w:t>
      </w:r>
    </w:p>
    <w:p w:rsidR="00490FC8" w:rsidRPr="008C37E6" w:rsidRDefault="00490FC8" w:rsidP="00490FC8">
      <w:pPr>
        <w:spacing w:line="360" w:lineRule="auto"/>
        <w:ind w:firstLine="851"/>
        <w:jc w:val="both"/>
        <w:rPr>
          <w:rFonts w:ascii="Arial" w:hAnsi="Arial" w:cs="Arial"/>
        </w:rPr>
      </w:pPr>
      <w:r w:rsidRPr="008C37E6">
        <w:rPr>
          <w:rFonts w:ascii="Arial" w:hAnsi="Arial" w:cs="Arial"/>
        </w:rPr>
        <w:t xml:space="preserve">A grande dificuldade frente às emergências com produtos químicos perigosos é o fato de sua distribuição e movimentação no Estado do Paraná ser dinâmica, o que demanda uma capacidade de atendimento abrangente no território paranaense, e, para que exista essa capacidade, é necessária a implantação de estruturas e ações preventivas e responsivas, que envolvem tanto material quanto pessoal capacitado e que precisam estar localizadas em centros regionais de referência. Estas estruturas são os NAPPs – Núcleos de Atendimento a Emergências com Produtos Perigosos, que devem ser implementados em locais estratégias e equipados a partir do prosseguimento do presente projeto. </w:t>
      </w:r>
    </w:p>
    <w:p w:rsidR="00490FC8" w:rsidRDefault="00490FC8" w:rsidP="00490FC8">
      <w:pPr>
        <w:spacing w:line="360" w:lineRule="auto"/>
        <w:ind w:firstLine="851"/>
        <w:jc w:val="both"/>
        <w:rPr>
          <w:sz w:val="23"/>
          <w:szCs w:val="23"/>
        </w:rPr>
      </w:pPr>
    </w:p>
    <w:p w:rsidR="00490FC8" w:rsidRDefault="00490FC8" w:rsidP="00490FC8">
      <w:pPr>
        <w:spacing w:line="360" w:lineRule="auto"/>
        <w:ind w:firstLine="851"/>
        <w:jc w:val="both"/>
        <w:rPr>
          <w:rFonts w:ascii="Arial" w:hAnsi="Arial" w:cs="Arial"/>
          <w:b/>
          <w:u w:val="single"/>
        </w:rPr>
      </w:pPr>
      <w:r>
        <w:rPr>
          <w:rFonts w:ascii="Arial" w:hAnsi="Arial" w:cs="Arial"/>
          <w:b/>
          <w:u w:val="single"/>
        </w:rPr>
        <w:t>4. ESTUDOS PRELIMINARES</w:t>
      </w:r>
    </w:p>
    <w:p w:rsidR="00490FC8" w:rsidRDefault="00490FC8" w:rsidP="00490FC8">
      <w:pPr>
        <w:spacing w:line="360" w:lineRule="auto"/>
        <w:ind w:firstLine="851"/>
        <w:jc w:val="both"/>
        <w:rPr>
          <w:rFonts w:ascii="Arial" w:hAnsi="Arial" w:cs="Arial"/>
          <w:b/>
          <w:szCs w:val="22"/>
          <w:u w:val="single"/>
        </w:rPr>
      </w:pPr>
    </w:p>
    <w:p w:rsidR="00490FC8" w:rsidRDefault="00490FC8" w:rsidP="00490FC8">
      <w:pPr>
        <w:spacing w:after="200" w:line="360" w:lineRule="auto"/>
        <w:ind w:left="426" w:firstLine="283"/>
        <w:jc w:val="both"/>
        <w:rPr>
          <w:rFonts w:ascii="Arial" w:hAnsi="Arial" w:cs="Arial"/>
        </w:rPr>
      </w:pPr>
      <w:r w:rsidRPr="008C37E6">
        <w:rPr>
          <w:rFonts w:ascii="Arial" w:hAnsi="Arial" w:cs="Arial"/>
        </w:rPr>
        <w:t>Para elaboração deste temo de referência, foram considerados levantamento das necessidades destes equipamentos, sua praticidade e segurança para os funcionários que trabalham nas Unidades.</w:t>
      </w:r>
    </w:p>
    <w:p w:rsidR="00490FC8" w:rsidRPr="00720F24" w:rsidRDefault="00490FC8" w:rsidP="00490FC8">
      <w:pPr>
        <w:spacing w:after="200" w:line="276" w:lineRule="auto"/>
        <w:ind w:firstLine="851"/>
        <w:jc w:val="both"/>
        <w:rPr>
          <w:rFonts w:ascii="Arial" w:hAnsi="Arial" w:cs="Arial"/>
          <w:b/>
          <w:szCs w:val="22"/>
          <w:u w:val="single"/>
        </w:rPr>
      </w:pPr>
      <w:r w:rsidRPr="00720F24">
        <w:rPr>
          <w:rFonts w:ascii="Arial" w:hAnsi="Arial" w:cs="Arial"/>
          <w:b/>
          <w:u w:val="single"/>
        </w:rPr>
        <w:t>5. RELAÇÃO ENTRE DEMANDA E A QUANTIDADE A SER CONTRATADA</w:t>
      </w:r>
    </w:p>
    <w:p w:rsidR="00490FC8" w:rsidRPr="00720F24" w:rsidRDefault="00490FC8" w:rsidP="00490FC8">
      <w:pPr>
        <w:spacing w:after="200" w:line="276" w:lineRule="auto"/>
        <w:ind w:firstLine="851"/>
        <w:jc w:val="both"/>
        <w:rPr>
          <w:rFonts w:ascii="Arial" w:hAnsi="Arial" w:cs="Arial"/>
          <w:szCs w:val="22"/>
        </w:rPr>
      </w:pPr>
      <w:r w:rsidRPr="00720F24">
        <w:rPr>
          <w:rFonts w:ascii="Arial" w:hAnsi="Arial" w:cs="Arial"/>
        </w:rPr>
        <w:t>As licitantes interessadas deverão fornecer os produtos relacionados em sua integridade.</w:t>
      </w:r>
    </w:p>
    <w:tbl>
      <w:tblPr>
        <w:tblpPr w:leftFromText="141" w:rightFromText="141" w:vertAnchor="text" w:horzAnchor="margin" w:tblpXSpec="center" w:tblpY="401"/>
        <w:tblW w:w="10175" w:type="dxa"/>
        <w:tblCellMar>
          <w:left w:w="70" w:type="dxa"/>
          <w:right w:w="70" w:type="dxa"/>
        </w:tblCellMar>
        <w:tblLook w:val="04A0" w:firstRow="1" w:lastRow="0" w:firstColumn="1" w:lastColumn="0" w:noHBand="0" w:noVBand="1"/>
      </w:tblPr>
      <w:tblGrid>
        <w:gridCol w:w="618"/>
        <w:gridCol w:w="5481"/>
        <w:gridCol w:w="563"/>
        <w:gridCol w:w="15"/>
        <w:gridCol w:w="1700"/>
        <w:gridCol w:w="15"/>
        <w:gridCol w:w="1783"/>
      </w:tblGrid>
      <w:tr w:rsidR="00490FC8" w:rsidRPr="00FE230E" w:rsidTr="004F4346">
        <w:trPr>
          <w:trHeight w:val="420"/>
        </w:trPr>
        <w:tc>
          <w:tcPr>
            <w:tcW w:w="6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90FC8" w:rsidRPr="00FE230E" w:rsidRDefault="00490FC8" w:rsidP="004F4346">
            <w:pPr>
              <w:jc w:val="center"/>
              <w:rPr>
                <w:rFonts w:ascii="Arial" w:eastAsia="Times New Roman" w:hAnsi="Arial" w:cs="Arial"/>
                <w:b/>
                <w:bCs/>
                <w:color w:val="000000"/>
                <w:sz w:val="20"/>
                <w:szCs w:val="20"/>
                <w:lang w:eastAsia="pt-BR"/>
              </w:rPr>
            </w:pPr>
            <w:r w:rsidRPr="00FE230E">
              <w:rPr>
                <w:rFonts w:ascii="Arial" w:eastAsia="Times New Roman" w:hAnsi="Arial" w:cs="Arial"/>
                <w:b/>
                <w:bCs/>
                <w:color w:val="000000"/>
                <w:sz w:val="20"/>
                <w:szCs w:val="20"/>
                <w:lang w:eastAsia="pt-BR"/>
              </w:rPr>
              <w:t>ITEM</w:t>
            </w:r>
          </w:p>
        </w:tc>
        <w:tc>
          <w:tcPr>
            <w:tcW w:w="5481" w:type="dxa"/>
            <w:tcBorders>
              <w:top w:val="single" w:sz="8" w:space="0" w:color="auto"/>
              <w:left w:val="nil"/>
              <w:bottom w:val="single" w:sz="8" w:space="0" w:color="auto"/>
              <w:right w:val="single" w:sz="4" w:space="0" w:color="auto"/>
            </w:tcBorders>
            <w:shd w:val="clear" w:color="auto" w:fill="auto"/>
            <w:vAlign w:val="center"/>
            <w:hideMark/>
          </w:tcPr>
          <w:p w:rsidR="00490FC8" w:rsidRPr="00FE230E" w:rsidRDefault="00490FC8" w:rsidP="004F4346">
            <w:pPr>
              <w:jc w:val="center"/>
              <w:rPr>
                <w:rFonts w:ascii="Arial" w:eastAsia="Times New Roman" w:hAnsi="Arial" w:cs="Arial"/>
                <w:b/>
                <w:bCs/>
                <w:color w:val="000000"/>
                <w:sz w:val="20"/>
                <w:szCs w:val="20"/>
                <w:lang w:eastAsia="pt-BR"/>
              </w:rPr>
            </w:pPr>
            <w:r w:rsidRPr="00FE230E">
              <w:rPr>
                <w:rFonts w:ascii="Arial" w:eastAsia="Times New Roman" w:hAnsi="Arial" w:cs="Arial"/>
                <w:b/>
                <w:bCs/>
                <w:color w:val="000000"/>
                <w:sz w:val="20"/>
                <w:szCs w:val="20"/>
                <w:lang w:eastAsia="pt-BR"/>
              </w:rPr>
              <w:t>Material (EPI)</w:t>
            </w:r>
          </w:p>
        </w:tc>
        <w:tc>
          <w:tcPr>
            <w:tcW w:w="563" w:type="dxa"/>
            <w:tcBorders>
              <w:top w:val="single" w:sz="8" w:space="0" w:color="auto"/>
              <w:left w:val="nil"/>
              <w:bottom w:val="single" w:sz="8" w:space="0" w:color="auto"/>
              <w:right w:val="single" w:sz="4" w:space="0" w:color="auto"/>
            </w:tcBorders>
            <w:shd w:val="clear" w:color="auto" w:fill="auto"/>
            <w:vAlign w:val="center"/>
            <w:hideMark/>
          </w:tcPr>
          <w:p w:rsidR="00490FC8" w:rsidRPr="00FE230E" w:rsidRDefault="00490FC8" w:rsidP="004F4346">
            <w:pPr>
              <w:jc w:val="center"/>
              <w:rPr>
                <w:rFonts w:ascii="Arial" w:eastAsia="Times New Roman" w:hAnsi="Arial" w:cs="Arial"/>
                <w:b/>
                <w:bCs/>
                <w:color w:val="000000"/>
                <w:sz w:val="20"/>
                <w:szCs w:val="20"/>
                <w:lang w:eastAsia="pt-BR"/>
              </w:rPr>
            </w:pPr>
            <w:r w:rsidRPr="00FE230E">
              <w:rPr>
                <w:rFonts w:ascii="Arial" w:eastAsia="Times New Roman" w:hAnsi="Arial" w:cs="Arial"/>
                <w:b/>
                <w:bCs/>
                <w:color w:val="000000"/>
                <w:sz w:val="20"/>
                <w:szCs w:val="20"/>
                <w:lang w:eastAsia="pt-BR"/>
              </w:rPr>
              <w:t>QTD</w:t>
            </w:r>
          </w:p>
        </w:tc>
        <w:tc>
          <w:tcPr>
            <w:tcW w:w="171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490FC8" w:rsidRPr="00FE230E" w:rsidRDefault="00490FC8" w:rsidP="004F4346">
            <w:pPr>
              <w:jc w:val="center"/>
              <w:rPr>
                <w:rFonts w:ascii="Arial" w:eastAsia="Times New Roman" w:hAnsi="Arial" w:cs="Arial"/>
                <w:b/>
                <w:bCs/>
                <w:color w:val="000000"/>
                <w:sz w:val="20"/>
                <w:szCs w:val="20"/>
                <w:lang w:eastAsia="pt-BR"/>
              </w:rPr>
            </w:pPr>
            <w:r w:rsidRPr="00FE230E">
              <w:rPr>
                <w:rFonts w:ascii="Arial" w:eastAsia="Times New Roman" w:hAnsi="Arial" w:cs="Arial"/>
                <w:b/>
                <w:bCs/>
                <w:color w:val="000000"/>
                <w:sz w:val="20"/>
                <w:szCs w:val="20"/>
                <w:lang w:eastAsia="pt-BR"/>
              </w:rPr>
              <w:t>VALOR MÁXIMO POR ITEM R$</w:t>
            </w:r>
          </w:p>
        </w:tc>
        <w:tc>
          <w:tcPr>
            <w:tcW w:w="1798" w:type="dxa"/>
            <w:gridSpan w:val="2"/>
            <w:tcBorders>
              <w:top w:val="single" w:sz="8" w:space="0" w:color="auto"/>
              <w:left w:val="nil"/>
              <w:bottom w:val="single" w:sz="8" w:space="0" w:color="auto"/>
              <w:right w:val="single" w:sz="8" w:space="0" w:color="auto"/>
            </w:tcBorders>
            <w:shd w:val="clear" w:color="auto" w:fill="auto"/>
            <w:vAlign w:val="center"/>
            <w:hideMark/>
          </w:tcPr>
          <w:p w:rsidR="00490FC8" w:rsidRPr="00FE230E" w:rsidRDefault="00490FC8" w:rsidP="004F4346">
            <w:pPr>
              <w:jc w:val="center"/>
              <w:rPr>
                <w:rFonts w:ascii="Arial" w:eastAsia="Times New Roman" w:hAnsi="Arial" w:cs="Arial"/>
                <w:b/>
                <w:bCs/>
                <w:color w:val="000000"/>
                <w:sz w:val="16"/>
                <w:szCs w:val="16"/>
                <w:lang w:eastAsia="pt-BR"/>
              </w:rPr>
            </w:pPr>
            <w:r w:rsidRPr="00FE230E">
              <w:rPr>
                <w:rFonts w:ascii="Arial" w:eastAsia="Times New Roman" w:hAnsi="Arial" w:cs="Arial"/>
                <w:b/>
                <w:bCs/>
                <w:color w:val="000000"/>
                <w:sz w:val="16"/>
                <w:szCs w:val="16"/>
                <w:lang w:eastAsia="pt-BR"/>
              </w:rPr>
              <w:t>VALOR MÁXIMO TOTAL R$</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1</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Roupar de Proteção Nível C</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200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237,33</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R$ 47.466,67</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2</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Par de luvas PVC</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242</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33,33</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R$ 8.066,67</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3</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Máscaras faciais</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140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924,25</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R$ 129.395,00</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4</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Filtros PV (polivalentes)</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200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160,00</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R$ 32.000,00</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5</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Fita de isolamento com 200m</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200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28,33</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R$ 5.666,67</w:t>
            </w:r>
          </w:p>
        </w:tc>
      </w:tr>
      <w:tr w:rsidR="00490FC8" w:rsidRPr="00FE230E" w:rsidTr="004F4346">
        <w:trPr>
          <w:trHeight w:val="612"/>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6</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Conjunto de batoques e cunhas de tamanhos diferentes de madeira macia - 30 peças</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60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400,00</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R$ 24.000,00</w:t>
            </w:r>
          </w:p>
        </w:tc>
      </w:tr>
      <w:tr w:rsidR="00490FC8" w:rsidRPr="00FE230E" w:rsidTr="004F4346">
        <w:trPr>
          <w:trHeight w:val="40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lastRenderedPageBreak/>
              <w:t>7</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Massa de vedação (plug &amp; dike) 1 kg</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240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306,67</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R$ 73.600,00</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8</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Barreira de absorção de 3m</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340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860,00</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R$ 292.400,00</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9</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Pacote de turfa 10 kg</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140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276,67</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R$ 38.733,33</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10</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Pacote de sorbes</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140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396,67</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R$ 55.533,33</w:t>
            </w:r>
          </w:p>
        </w:tc>
      </w:tr>
      <w:tr w:rsidR="00490FC8" w:rsidRPr="00FE230E" w:rsidTr="004F4346">
        <w:trPr>
          <w:trHeight w:val="288"/>
        </w:trPr>
        <w:tc>
          <w:tcPr>
            <w:tcW w:w="618" w:type="dxa"/>
            <w:tcBorders>
              <w:top w:val="nil"/>
              <w:left w:val="single" w:sz="4" w:space="0" w:color="auto"/>
              <w:bottom w:val="single" w:sz="4" w:space="0" w:color="auto"/>
              <w:right w:val="single" w:sz="4" w:space="0" w:color="auto"/>
            </w:tcBorders>
            <w:shd w:val="clear" w:color="auto" w:fill="auto"/>
            <w:vAlign w:val="center"/>
          </w:tcPr>
          <w:p w:rsidR="00490FC8" w:rsidRPr="00FE230E" w:rsidRDefault="00490FC8" w:rsidP="004F4346">
            <w:pPr>
              <w:jc w:val="center"/>
              <w:rPr>
                <w:rFonts w:ascii="Arial" w:eastAsia="Times New Roman" w:hAnsi="Arial" w:cs="Arial"/>
                <w:b/>
                <w:bCs/>
                <w:sz w:val="20"/>
                <w:szCs w:val="20"/>
                <w:lang w:eastAsia="pt-BR"/>
              </w:rPr>
            </w:pPr>
            <w:r w:rsidRPr="00FE230E">
              <w:rPr>
                <w:rFonts w:ascii="Arial" w:eastAsia="Times New Roman" w:hAnsi="Arial" w:cs="Arial"/>
                <w:b/>
                <w:bCs/>
                <w:sz w:val="20"/>
                <w:szCs w:val="20"/>
                <w:lang w:eastAsia="pt-BR"/>
              </w:rPr>
              <w:t>11</w:t>
            </w:r>
          </w:p>
        </w:tc>
        <w:tc>
          <w:tcPr>
            <w:tcW w:w="5481"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rPr>
                <w:rFonts w:ascii="Arial" w:eastAsia="Times New Roman" w:hAnsi="Arial" w:cs="Arial"/>
                <w:sz w:val="20"/>
                <w:szCs w:val="20"/>
                <w:lang w:eastAsia="pt-BR"/>
              </w:rPr>
            </w:pPr>
            <w:r w:rsidRPr="00FE230E">
              <w:rPr>
                <w:rFonts w:ascii="Arial" w:eastAsia="Times New Roman" w:hAnsi="Arial" w:cs="Arial"/>
                <w:sz w:val="20"/>
                <w:szCs w:val="20"/>
                <w:lang w:eastAsia="pt-BR"/>
              </w:rPr>
              <w:t>Caixa de manta de absorção</w:t>
            </w:r>
          </w:p>
        </w:tc>
        <w:tc>
          <w:tcPr>
            <w:tcW w:w="563" w:type="dxa"/>
            <w:tcBorders>
              <w:top w:val="nil"/>
              <w:left w:val="nil"/>
              <w:bottom w:val="single" w:sz="4" w:space="0" w:color="auto"/>
              <w:right w:val="single" w:sz="4" w:space="0" w:color="auto"/>
            </w:tcBorders>
            <w:shd w:val="clear" w:color="auto" w:fill="auto"/>
            <w:vAlign w:val="center"/>
            <w:hideMark/>
          </w:tcPr>
          <w:p w:rsidR="00490FC8" w:rsidRPr="00FE230E" w:rsidRDefault="00490FC8" w:rsidP="004F4346">
            <w:pPr>
              <w:jc w:val="center"/>
              <w:rPr>
                <w:rFonts w:ascii="Arial" w:hAnsi="Arial" w:cs="Arial"/>
                <w:b/>
                <w:bCs/>
                <w:sz w:val="20"/>
                <w:szCs w:val="20"/>
              </w:rPr>
            </w:pPr>
            <w:r w:rsidRPr="00FE230E">
              <w:rPr>
                <w:rFonts w:ascii="Arial" w:hAnsi="Arial" w:cs="Arial"/>
                <w:color w:val="000000"/>
                <w:sz w:val="20"/>
                <w:szCs w:val="20"/>
              </w:rPr>
              <w:t>120</w:t>
            </w:r>
          </w:p>
        </w:tc>
        <w:tc>
          <w:tcPr>
            <w:tcW w:w="1715" w:type="dxa"/>
            <w:gridSpan w:val="2"/>
            <w:tcBorders>
              <w:top w:val="nil"/>
              <w:left w:val="single" w:sz="8" w:space="0" w:color="auto"/>
              <w:bottom w:val="single" w:sz="4" w:space="0" w:color="auto"/>
              <w:right w:val="single" w:sz="4" w:space="0" w:color="auto"/>
            </w:tcBorders>
            <w:shd w:val="clear" w:color="auto" w:fill="auto"/>
            <w:noWrap/>
            <w:vAlign w:val="center"/>
            <w:hideMark/>
          </w:tcPr>
          <w:p w:rsidR="00490FC8" w:rsidRPr="00FE230E" w:rsidRDefault="00490FC8" w:rsidP="004F4346">
            <w:pPr>
              <w:jc w:val="center"/>
              <w:rPr>
                <w:rFonts w:ascii="Arial" w:hAnsi="Arial" w:cs="Arial"/>
                <w:sz w:val="20"/>
                <w:szCs w:val="20"/>
              </w:rPr>
            </w:pPr>
            <w:r w:rsidRPr="00FE230E">
              <w:rPr>
                <w:rFonts w:ascii="Arial" w:hAnsi="Arial" w:cs="Arial"/>
                <w:color w:val="000000"/>
                <w:sz w:val="20"/>
                <w:szCs w:val="20"/>
              </w:rPr>
              <w:t>R$     680,00</w:t>
            </w:r>
          </w:p>
        </w:tc>
        <w:tc>
          <w:tcPr>
            <w:tcW w:w="1798" w:type="dxa"/>
            <w:gridSpan w:val="2"/>
            <w:tcBorders>
              <w:top w:val="nil"/>
              <w:left w:val="nil"/>
              <w:bottom w:val="single" w:sz="4" w:space="0" w:color="auto"/>
              <w:right w:val="single" w:sz="8" w:space="0" w:color="auto"/>
            </w:tcBorders>
            <w:shd w:val="clear" w:color="auto" w:fill="auto"/>
            <w:noWrap/>
            <w:vAlign w:val="center"/>
            <w:hideMark/>
          </w:tcPr>
          <w:p w:rsidR="00490FC8" w:rsidRPr="00FE230E" w:rsidRDefault="00490FC8" w:rsidP="004F4346">
            <w:pPr>
              <w:jc w:val="center"/>
              <w:rPr>
                <w:rFonts w:ascii="Arial" w:hAnsi="Arial" w:cs="Arial"/>
                <w:color w:val="000000"/>
                <w:sz w:val="20"/>
                <w:szCs w:val="20"/>
              </w:rPr>
            </w:pPr>
            <w:r w:rsidRPr="00FE230E">
              <w:rPr>
                <w:rFonts w:ascii="Arial" w:hAnsi="Arial" w:cs="Arial"/>
                <w:sz w:val="20"/>
                <w:szCs w:val="20"/>
              </w:rPr>
              <w:t>R$ 81.60000</w:t>
            </w:r>
          </w:p>
        </w:tc>
      </w:tr>
      <w:tr w:rsidR="00490FC8" w:rsidRPr="00FE230E" w:rsidTr="004F4346">
        <w:trPr>
          <w:trHeight w:val="300"/>
        </w:trPr>
        <w:tc>
          <w:tcPr>
            <w:tcW w:w="6677" w:type="dxa"/>
            <w:gridSpan w:val="4"/>
            <w:tcBorders>
              <w:top w:val="single" w:sz="8" w:space="0" w:color="auto"/>
              <w:left w:val="single" w:sz="8" w:space="0" w:color="auto"/>
              <w:bottom w:val="single" w:sz="8" w:space="0" w:color="auto"/>
              <w:right w:val="nil"/>
            </w:tcBorders>
            <w:shd w:val="clear" w:color="000000" w:fill="D9D9D9"/>
            <w:vAlign w:val="center"/>
            <w:hideMark/>
          </w:tcPr>
          <w:p w:rsidR="00490FC8" w:rsidRPr="00FE230E" w:rsidRDefault="00490FC8" w:rsidP="004F4346">
            <w:pPr>
              <w:jc w:val="center"/>
              <w:rPr>
                <w:rFonts w:ascii="Arial" w:eastAsia="Times New Roman" w:hAnsi="Arial" w:cs="Arial"/>
                <w:b/>
                <w:bCs/>
                <w:color w:val="000000"/>
                <w:sz w:val="20"/>
                <w:szCs w:val="20"/>
                <w:lang w:eastAsia="pt-BR"/>
              </w:rPr>
            </w:pPr>
            <w:r w:rsidRPr="00FE230E">
              <w:rPr>
                <w:rFonts w:ascii="Arial" w:eastAsia="Times New Roman" w:hAnsi="Arial" w:cs="Arial"/>
                <w:b/>
                <w:bCs/>
                <w:color w:val="000000"/>
                <w:sz w:val="20"/>
                <w:szCs w:val="20"/>
                <w:lang w:eastAsia="pt-BR"/>
              </w:rPr>
              <w:t>TOTAL</w:t>
            </w:r>
          </w:p>
        </w:tc>
        <w:tc>
          <w:tcPr>
            <w:tcW w:w="1715" w:type="dxa"/>
            <w:gridSpan w:val="2"/>
            <w:tcBorders>
              <w:top w:val="single" w:sz="8" w:space="0" w:color="auto"/>
              <w:left w:val="nil"/>
              <w:bottom w:val="single" w:sz="8" w:space="0" w:color="auto"/>
              <w:right w:val="nil"/>
            </w:tcBorders>
            <w:shd w:val="clear" w:color="000000" w:fill="D9D9D9"/>
            <w:noWrap/>
            <w:vAlign w:val="bottom"/>
            <w:hideMark/>
          </w:tcPr>
          <w:p w:rsidR="00490FC8" w:rsidRPr="00FE230E" w:rsidRDefault="00490FC8" w:rsidP="004F4346">
            <w:pPr>
              <w:rPr>
                <w:rFonts w:ascii="Arial" w:eastAsia="Times New Roman" w:hAnsi="Arial" w:cs="Arial"/>
                <w:color w:val="000000"/>
                <w:sz w:val="20"/>
                <w:szCs w:val="20"/>
                <w:lang w:eastAsia="pt-BR"/>
              </w:rPr>
            </w:pPr>
            <w:r w:rsidRPr="00FE230E">
              <w:rPr>
                <w:rFonts w:ascii="Arial" w:eastAsia="Times New Roman" w:hAnsi="Arial" w:cs="Arial"/>
                <w:color w:val="000000"/>
                <w:sz w:val="20"/>
                <w:szCs w:val="20"/>
                <w:lang w:eastAsia="pt-BR"/>
              </w:rPr>
              <w:t> </w:t>
            </w:r>
          </w:p>
        </w:tc>
        <w:tc>
          <w:tcPr>
            <w:tcW w:w="1783"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90FC8" w:rsidRPr="00FE230E" w:rsidRDefault="00490FC8" w:rsidP="004F4346">
            <w:pPr>
              <w:jc w:val="center"/>
              <w:rPr>
                <w:rFonts w:ascii="Arial" w:hAnsi="Arial" w:cs="Arial"/>
                <w:b/>
                <w:color w:val="000000"/>
                <w:sz w:val="20"/>
                <w:szCs w:val="20"/>
              </w:rPr>
            </w:pPr>
            <w:r w:rsidRPr="00FE230E">
              <w:rPr>
                <w:rFonts w:ascii="Arial" w:hAnsi="Arial" w:cs="Arial"/>
                <w:b/>
                <w:color w:val="000000"/>
                <w:sz w:val="20"/>
                <w:szCs w:val="20"/>
              </w:rPr>
              <w:t>R$ 788.461,67</w:t>
            </w:r>
          </w:p>
        </w:tc>
      </w:tr>
    </w:tbl>
    <w:p w:rsidR="00490FC8" w:rsidRPr="00F64CF0" w:rsidRDefault="00490FC8" w:rsidP="00490FC8">
      <w:pPr>
        <w:spacing w:after="200" w:line="276" w:lineRule="auto"/>
        <w:ind w:left="426"/>
        <w:jc w:val="both"/>
        <w:rPr>
          <w:rFonts w:ascii="Arial" w:hAnsi="Arial" w:cs="Arial"/>
          <w:b/>
          <w:color w:val="FF0000"/>
        </w:rPr>
      </w:pPr>
    </w:p>
    <w:p w:rsidR="00490FC8" w:rsidRPr="008D7F15" w:rsidRDefault="00490FC8" w:rsidP="00490FC8">
      <w:pPr>
        <w:spacing w:after="200" w:line="276" w:lineRule="auto"/>
        <w:ind w:left="426"/>
        <w:jc w:val="both"/>
        <w:rPr>
          <w:rFonts w:ascii="Arial" w:hAnsi="Arial" w:cs="Arial"/>
          <w:b/>
          <w:u w:val="single"/>
        </w:rPr>
      </w:pPr>
      <w:r w:rsidRPr="008D7F15">
        <w:rPr>
          <w:rFonts w:ascii="Arial" w:hAnsi="Arial" w:cs="Arial"/>
          <w:b/>
          <w:u w:val="single"/>
        </w:rPr>
        <w:t>Especificações:</w:t>
      </w:r>
    </w:p>
    <w:p w:rsidR="00490FC8" w:rsidRDefault="00490FC8" w:rsidP="00490FC8">
      <w:pPr>
        <w:spacing w:line="360" w:lineRule="auto"/>
        <w:ind w:firstLine="851"/>
        <w:jc w:val="both"/>
        <w:rPr>
          <w:rFonts w:ascii="Arial" w:hAnsi="Arial" w:cs="Arial"/>
          <w:b/>
          <w:color w:val="00B050"/>
        </w:rPr>
      </w:pPr>
      <w:r>
        <w:rPr>
          <w:rFonts w:ascii="Arial" w:hAnsi="Arial" w:cs="Arial"/>
        </w:rPr>
        <w:t xml:space="preserve">5.1  POR ITEM – Equipamentos para atendimento a emergência com produtos perigosos. </w:t>
      </w:r>
    </w:p>
    <w:p w:rsidR="00490FC8" w:rsidRPr="00725428" w:rsidRDefault="00490FC8" w:rsidP="00490FC8">
      <w:pPr>
        <w:spacing w:line="360" w:lineRule="auto"/>
        <w:jc w:val="both"/>
        <w:rPr>
          <w:rFonts w:ascii="Arial" w:hAnsi="Arial" w:cs="Arial"/>
          <w:b/>
          <w:color w:val="00B050"/>
        </w:rPr>
      </w:pP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5.1.1 Roupa de proteção nível C</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Traje de Proteção Nível “C”: roupa de proteção química tipo macacão com capuz nível C (Tipo 4, 5, e 6), oferece proteção contra gases químicos, sólidos e líquidos. </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Deve ser confeccionada em tecido de polietileno de alta densidade com tratamento antiestático. </w:t>
      </w:r>
    </w:p>
    <w:p w:rsidR="00490FC8" w:rsidRPr="00490FC8" w:rsidRDefault="00490FC8" w:rsidP="00490FC8">
      <w:pPr>
        <w:numPr>
          <w:ilvl w:val="0"/>
          <w:numId w:val="1"/>
        </w:numPr>
        <w:spacing w:line="360" w:lineRule="auto"/>
        <w:ind w:left="0" w:firstLine="851"/>
        <w:jc w:val="both"/>
        <w:rPr>
          <w:rFonts w:ascii="Arial" w:hAnsi="Arial" w:cs="Arial"/>
        </w:rPr>
      </w:pPr>
      <w:r w:rsidRPr="00490FC8">
        <w:rPr>
          <w:rFonts w:ascii="Arial" w:hAnsi="Arial" w:cs="Arial"/>
        </w:rPr>
        <w:t xml:space="preserve">O laminado deverá ter peso entre 39,00 e 60 g/m², resistência a tensão entre 3 e 11 kgf, resistência à ruptura entre 10 e 16 kgf, resistência a água a altura hidrostática mínima de 102 cm. </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Deve barrar partículas secas e úmidas maiores que 0,5 micron e resistir a respingos leves de ácidos e bases diluídos em baixa concentração, bem como impedir a penetração de bactérias e vírus maiores que 0,5 mícron. </w:t>
      </w:r>
    </w:p>
    <w:p w:rsidR="00490FC8" w:rsidRPr="00490FC8" w:rsidRDefault="00490FC8" w:rsidP="00490FC8">
      <w:pPr>
        <w:numPr>
          <w:ilvl w:val="0"/>
          <w:numId w:val="1"/>
        </w:numPr>
        <w:spacing w:line="360" w:lineRule="auto"/>
        <w:ind w:left="0" w:firstLine="851"/>
        <w:jc w:val="both"/>
        <w:rPr>
          <w:rFonts w:ascii="Arial" w:hAnsi="Arial" w:cs="Arial"/>
        </w:rPr>
      </w:pPr>
      <w:r w:rsidRPr="00490FC8">
        <w:rPr>
          <w:rFonts w:ascii="Arial" w:hAnsi="Arial" w:cs="Arial"/>
        </w:rPr>
        <w:t xml:space="preserve">Cor branca ou amarela. </w:t>
      </w:r>
    </w:p>
    <w:p w:rsidR="00490FC8" w:rsidRDefault="00490FC8" w:rsidP="00490FC8">
      <w:pPr>
        <w:numPr>
          <w:ilvl w:val="0"/>
          <w:numId w:val="1"/>
        </w:numPr>
        <w:spacing w:line="360" w:lineRule="auto"/>
        <w:ind w:left="0" w:firstLine="851"/>
        <w:jc w:val="both"/>
        <w:rPr>
          <w:rFonts w:ascii="Arial" w:hAnsi="Arial" w:cs="Arial"/>
        </w:rPr>
      </w:pPr>
      <w:r w:rsidRPr="00490FC8">
        <w:rPr>
          <w:rFonts w:ascii="Arial" w:hAnsi="Arial" w:cs="Arial"/>
        </w:rPr>
        <w:t xml:space="preserve">Deverá possuir abertura frontal e fechamento </w:t>
      </w:r>
      <w:r>
        <w:rPr>
          <w:rFonts w:ascii="Arial" w:hAnsi="Arial" w:cs="Arial"/>
        </w:rPr>
        <w:t xml:space="preserve">com zíper, conter elásticos nos punhos, tornozelos, capuz e costas. </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Confeccionado em costuras simples. </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Deverá ser entregue nos seguintes tamanhos e quantidades: 2P, 3M, 3G, 1XG e 1XXG. </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  O material do traje é um não-tecido de polietileno de alta densidade com travamento antiestático.</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 xml:space="preserve">Deve impedir a penetração de bactérias e vírus maiores que 0,5 </w:t>
      </w:r>
      <w:r>
        <w:rPr>
          <w:rFonts w:ascii="Arial" w:hAnsi="Arial" w:cs="Arial"/>
        </w:rPr>
        <w:lastRenderedPageBreak/>
        <w:t xml:space="preserve">micron. </w:t>
      </w:r>
    </w:p>
    <w:p w:rsidR="00490FC8" w:rsidRDefault="00490FC8" w:rsidP="00490FC8">
      <w:pPr>
        <w:numPr>
          <w:ilvl w:val="0"/>
          <w:numId w:val="1"/>
        </w:numPr>
        <w:spacing w:line="360" w:lineRule="auto"/>
        <w:ind w:left="0" w:firstLine="851"/>
        <w:jc w:val="both"/>
        <w:rPr>
          <w:rFonts w:ascii="Arial" w:hAnsi="Arial" w:cs="Arial"/>
        </w:rPr>
      </w:pPr>
      <w:r>
        <w:rPr>
          <w:rFonts w:ascii="Arial" w:hAnsi="Arial" w:cs="Arial"/>
        </w:rPr>
        <w:t>Deve acompanhar tabela de compatibilidade.</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5.1.2 Par de luvas PVC</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2"/>
        </w:numPr>
        <w:spacing w:line="360" w:lineRule="auto"/>
        <w:ind w:left="0" w:firstLine="851"/>
        <w:jc w:val="both"/>
        <w:rPr>
          <w:rFonts w:ascii="Arial" w:hAnsi="Arial" w:cs="Arial"/>
        </w:rPr>
      </w:pPr>
      <w:r>
        <w:rPr>
          <w:rFonts w:ascii="Arial" w:hAnsi="Arial" w:cs="Arial"/>
        </w:rPr>
        <w:t xml:space="preserve">Luva confeccionada em PVC (Poli Vinyl Chloride) com forro em malha de algodão, com proteção a resíduos químicos. </w:t>
      </w:r>
    </w:p>
    <w:p w:rsidR="00490FC8" w:rsidRDefault="00490FC8" w:rsidP="00490FC8">
      <w:pPr>
        <w:numPr>
          <w:ilvl w:val="0"/>
          <w:numId w:val="2"/>
        </w:numPr>
        <w:spacing w:line="360" w:lineRule="auto"/>
        <w:ind w:left="0" w:firstLine="851"/>
        <w:jc w:val="both"/>
        <w:rPr>
          <w:rFonts w:ascii="Arial" w:hAnsi="Arial" w:cs="Arial"/>
        </w:rPr>
      </w:pPr>
      <w:r>
        <w:rPr>
          <w:rFonts w:ascii="Arial" w:hAnsi="Arial" w:cs="Arial"/>
        </w:rPr>
        <w:t xml:space="preserve">Proporciona resistência a químicos Classe A, B e C. </w:t>
      </w:r>
    </w:p>
    <w:p w:rsidR="00490FC8" w:rsidRDefault="00490FC8" w:rsidP="00490FC8">
      <w:pPr>
        <w:numPr>
          <w:ilvl w:val="0"/>
          <w:numId w:val="2"/>
        </w:numPr>
        <w:spacing w:line="360" w:lineRule="auto"/>
        <w:ind w:left="0" w:firstLine="851"/>
        <w:jc w:val="both"/>
        <w:rPr>
          <w:rFonts w:ascii="Arial" w:hAnsi="Arial" w:cs="Arial"/>
        </w:rPr>
      </w:pPr>
      <w:r>
        <w:rPr>
          <w:rFonts w:ascii="Arial" w:hAnsi="Arial" w:cs="Arial"/>
        </w:rPr>
        <w:t xml:space="preserve">Deve possuir CA. </w:t>
      </w:r>
    </w:p>
    <w:p w:rsidR="00490FC8" w:rsidRDefault="00490FC8" w:rsidP="00490FC8">
      <w:pPr>
        <w:numPr>
          <w:ilvl w:val="0"/>
          <w:numId w:val="2"/>
        </w:numPr>
        <w:spacing w:line="360" w:lineRule="auto"/>
        <w:ind w:left="0" w:firstLine="851"/>
        <w:jc w:val="both"/>
        <w:rPr>
          <w:rFonts w:ascii="Arial" w:hAnsi="Arial" w:cs="Arial"/>
        </w:rPr>
      </w:pPr>
      <w:r>
        <w:rPr>
          <w:rFonts w:ascii="Arial" w:hAnsi="Arial" w:cs="Arial"/>
        </w:rPr>
        <w:t>Deve ser de tamanho 9, com comprimento de 26 a 32 cm.</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5.1.3 Máscara facial</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3"/>
        </w:numPr>
        <w:spacing w:line="360" w:lineRule="auto"/>
        <w:ind w:left="0" w:firstLine="851"/>
        <w:jc w:val="both"/>
        <w:rPr>
          <w:rFonts w:ascii="Arial" w:hAnsi="Arial" w:cs="Arial"/>
        </w:rPr>
      </w:pPr>
      <w:r>
        <w:rPr>
          <w:rFonts w:ascii="Arial" w:hAnsi="Arial" w:cs="Arial"/>
        </w:rPr>
        <w:t xml:space="preserve">Máscara facial tipo “full face” com conector de rosca com diâmetro de 40mm. </w:t>
      </w:r>
    </w:p>
    <w:p w:rsidR="00490FC8" w:rsidRDefault="00490FC8" w:rsidP="00490FC8">
      <w:pPr>
        <w:numPr>
          <w:ilvl w:val="0"/>
          <w:numId w:val="3"/>
        </w:numPr>
        <w:spacing w:line="360" w:lineRule="auto"/>
        <w:ind w:left="0" w:firstLine="851"/>
        <w:jc w:val="both"/>
        <w:rPr>
          <w:rFonts w:ascii="Arial" w:hAnsi="Arial" w:cs="Arial"/>
        </w:rPr>
      </w:pPr>
      <w:r>
        <w:rPr>
          <w:rFonts w:ascii="Arial" w:hAnsi="Arial" w:cs="Arial"/>
        </w:rPr>
        <w:t xml:space="preserve">Composta por corpo ergonômico antialérgico, visor em policarbonato de ampla visão, bocal com conexão tipo rosca de 40mm de diâmetro, mascarilha interna com válvula direcional. </w:t>
      </w:r>
    </w:p>
    <w:p w:rsidR="00490FC8" w:rsidRDefault="00490FC8" w:rsidP="00490FC8">
      <w:pPr>
        <w:numPr>
          <w:ilvl w:val="0"/>
          <w:numId w:val="3"/>
        </w:numPr>
        <w:spacing w:line="360" w:lineRule="auto"/>
        <w:ind w:left="0" w:firstLine="851"/>
        <w:jc w:val="both"/>
        <w:rPr>
          <w:rFonts w:ascii="Arial" w:hAnsi="Arial" w:cs="Arial"/>
        </w:rPr>
      </w:pPr>
      <w:r>
        <w:rPr>
          <w:rFonts w:ascii="Arial" w:hAnsi="Arial" w:cs="Arial"/>
        </w:rPr>
        <w:t xml:space="preserve">Para fixação à cabeça deve possuir tirante com no mínimo quatro pontas ajustável, bem como possuir alça de transporte para ser carregada ao pescoço. </w:t>
      </w:r>
    </w:p>
    <w:p w:rsidR="00490FC8" w:rsidRDefault="00490FC8" w:rsidP="00490FC8">
      <w:pPr>
        <w:numPr>
          <w:ilvl w:val="0"/>
          <w:numId w:val="3"/>
        </w:numPr>
        <w:spacing w:line="360" w:lineRule="auto"/>
        <w:ind w:left="0" w:firstLine="851"/>
        <w:jc w:val="both"/>
        <w:rPr>
          <w:rFonts w:ascii="Arial" w:hAnsi="Arial" w:cs="Arial"/>
        </w:rPr>
      </w:pPr>
      <w:r>
        <w:rPr>
          <w:rFonts w:ascii="Arial" w:hAnsi="Arial" w:cs="Arial"/>
        </w:rPr>
        <w:t xml:space="preserve">A máscara deve ter uso compatível para cartuchos filtrantes das séries: 100, 200, 201, 202, 203 e 204. </w:t>
      </w:r>
    </w:p>
    <w:p w:rsidR="00490FC8" w:rsidRDefault="00490FC8" w:rsidP="00490FC8">
      <w:pPr>
        <w:numPr>
          <w:ilvl w:val="0"/>
          <w:numId w:val="3"/>
        </w:numPr>
        <w:spacing w:line="360" w:lineRule="auto"/>
        <w:ind w:left="0" w:firstLine="851"/>
        <w:jc w:val="both"/>
        <w:rPr>
          <w:rFonts w:ascii="Arial" w:hAnsi="Arial" w:cs="Arial"/>
        </w:rPr>
      </w:pPr>
      <w:r>
        <w:rPr>
          <w:rFonts w:ascii="Arial" w:hAnsi="Arial" w:cs="Arial"/>
        </w:rPr>
        <w:t xml:space="preserve">Os materiais utilizados na sua confecção devem atender à seguinte especificação: Corpo em silicone/EPDM, visor em policarbonato de alta resistência, tirante de cabeça EPDM, mascarilha em TPE, e alça de transporte em PVC. </w:t>
      </w:r>
    </w:p>
    <w:p w:rsidR="00490FC8" w:rsidRDefault="00490FC8" w:rsidP="00490FC8">
      <w:pPr>
        <w:numPr>
          <w:ilvl w:val="0"/>
          <w:numId w:val="3"/>
        </w:numPr>
        <w:spacing w:line="360" w:lineRule="auto"/>
        <w:ind w:left="0" w:firstLine="851"/>
        <w:jc w:val="both"/>
        <w:rPr>
          <w:rFonts w:ascii="Arial" w:hAnsi="Arial" w:cs="Arial"/>
        </w:rPr>
      </w:pPr>
      <w:r>
        <w:rPr>
          <w:rFonts w:ascii="Arial" w:hAnsi="Arial" w:cs="Arial"/>
        </w:rPr>
        <w:t>A máscara facial deve atender às especificações da ABNT - NBR 13.695/2006 – Equipamentos de Proteção Respiratória – Peça Facial Inteira e EN 136, bem como deve possuir Certificado de Aprovação CA.</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5.1.4 Filtros PV (polivalentes)</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4"/>
        </w:numPr>
        <w:spacing w:line="360" w:lineRule="auto"/>
        <w:ind w:left="0" w:firstLine="851"/>
        <w:jc w:val="both"/>
        <w:rPr>
          <w:rFonts w:ascii="Arial" w:hAnsi="Arial" w:cs="Arial"/>
        </w:rPr>
      </w:pPr>
      <w:r>
        <w:rPr>
          <w:rFonts w:ascii="Arial" w:hAnsi="Arial" w:cs="Arial"/>
        </w:rPr>
        <w:lastRenderedPageBreak/>
        <w:t xml:space="preserve">Filtro químico polivalente com engate tipo rosca, com sistema de filtragem indicado para aplicação em situações que envolvam gases e vapores orgânicos, inorgânicos, gases ácidos e amônia. </w:t>
      </w:r>
    </w:p>
    <w:p w:rsidR="00490FC8" w:rsidRDefault="00490FC8" w:rsidP="00490FC8">
      <w:pPr>
        <w:numPr>
          <w:ilvl w:val="0"/>
          <w:numId w:val="4"/>
        </w:numPr>
        <w:spacing w:line="360" w:lineRule="auto"/>
        <w:ind w:left="0" w:firstLine="851"/>
        <w:jc w:val="both"/>
        <w:rPr>
          <w:rFonts w:ascii="Arial" w:hAnsi="Arial" w:cs="Arial"/>
        </w:rPr>
      </w:pPr>
      <w:r>
        <w:rPr>
          <w:rFonts w:ascii="Arial" w:hAnsi="Arial" w:cs="Arial"/>
        </w:rPr>
        <w:t>O conector rosca deve ser de 40mm de diâmetro, para compatibilidade com a máscara facial.</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5.1.5 Fita de isolamento com 200m</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11"/>
        </w:numPr>
        <w:spacing w:line="360" w:lineRule="auto"/>
        <w:ind w:left="0" w:firstLine="851"/>
        <w:jc w:val="both"/>
        <w:rPr>
          <w:rFonts w:ascii="Arial" w:hAnsi="Arial" w:cs="Arial"/>
        </w:rPr>
      </w:pPr>
      <w:r>
        <w:rPr>
          <w:rFonts w:ascii="Arial" w:hAnsi="Arial" w:cs="Arial"/>
        </w:rPr>
        <w:t xml:space="preserve">Fita para isolamento de área e obras na cor preta e amarela (zebrada) confeccionada em filme de polietileno. </w:t>
      </w:r>
    </w:p>
    <w:p w:rsidR="00490FC8" w:rsidRDefault="00490FC8" w:rsidP="00490FC8">
      <w:pPr>
        <w:numPr>
          <w:ilvl w:val="0"/>
          <w:numId w:val="11"/>
        </w:numPr>
        <w:spacing w:line="360" w:lineRule="auto"/>
        <w:ind w:left="0" w:firstLine="851"/>
        <w:jc w:val="both"/>
        <w:rPr>
          <w:rFonts w:ascii="Arial" w:hAnsi="Arial" w:cs="Arial"/>
        </w:rPr>
      </w:pPr>
      <w:r>
        <w:rPr>
          <w:rFonts w:ascii="Arial" w:hAnsi="Arial" w:cs="Arial"/>
        </w:rPr>
        <w:t xml:space="preserve">Rolo com comprimento de 200 metros. </w:t>
      </w:r>
    </w:p>
    <w:p w:rsidR="00490FC8" w:rsidRDefault="00490FC8" w:rsidP="00490FC8">
      <w:pPr>
        <w:numPr>
          <w:ilvl w:val="0"/>
          <w:numId w:val="11"/>
        </w:numPr>
        <w:spacing w:line="360" w:lineRule="auto"/>
        <w:ind w:left="0" w:firstLine="851"/>
        <w:jc w:val="both"/>
        <w:rPr>
          <w:rFonts w:ascii="Arial" w:hAnsi="Arial" w:cs="Arial"/>
        </w:rPr>
      </w:pPr>
      <w:r>
        <w:rPr>
          <w:rFonts w:ascii="Arial" w:hAnsi="Arial" w:cs="Arial"/>
        </w:rPr>
        <w:t>Espessura de 7cm.</w:t>
      </w:r>
    </w:p>
    <w:p w:rsidR="00490FC8" w:rsidRDefault="00490FC8" w:rsidP="00490FC8">
      <w:pPr>
        <w:spacing w:line="360" w:lineRule="auto"/>
        <w:ind w:firstLine="851"/>
        <w:jc w:val="both"/>
        <w:rPr>
          <w:rFonts w:ascii="Arial" w:hAnsi="Arial" w:cs="Arial"/>
        </w:rPr>
      </w:pPr>
    </w:p>
    <w:p w:rsidR="00490FC8" w:rsidRPr="00490FC8" w:rsidRDefault="00490FC8" w:rsidP="00490FC8">
      <w:pPr>
        <w:spacing w:line="360" w:lineRule="auto"/>
        <w:ind w:firstLine="851"/>
        <w:jc w:val="both"/>
        <w:rPr>
          <w:rFonts w:ascii="Arial" w:hAnsi="Arial" w:cs="Arial"/>
        </w:rPr>
      </w:pPr>
      <w:r>
        <w:rPr>
          <w:rFonts w:ascii="Arial" w:hAnsi="Arial" w:cs="Arial"/>
        </w:rPr>
        <w:t>5.1.</w:t>
      </w:r>
      <w:r w:rsidRPr="00490FC8">
        <w:rPr>
          <w:rFonts w:ascii="Arial" w:hAnsi="Arial" w:cs="Arial"/>
        </w:rPr>
        <w:t>6 Conjunto de batoques e cunhas de tamanhos diferentes de madeira macia – 10 peças</w:t>
      </w:r>
    </w:p>
    <w:p w:rsidR="00490FC8" w:rsidRPr="00490FC8" w:rsidRDefault="00490FC8" w:rsidP="00490FC8">
      <w:pPr>
        <w:spacing w:line="360" w:lineRule="auto"/>
        <w:ind w:firstLine="851"/>
        <w:jc w:val="both"/>
        <w:rPr>
          <w:rFonts w:ascii="Arial" w:hAnsi="Arial" w:cs="Arial"/>
        </w:rPr>
      </w:pPr>
    </w:p>
    <w:p w:rsidR="00490FC8" w:rsidRPr="00490FC8" w:rsidRDefault="00490FC8" w:rsidP="00490FC8">
      <w:pPr>
        <w:numPr>
          <w:ilvl w:val="0"/>
          <w:numId w:val="5"/>
        </w:numPr>
        <w:spacing w:line="360" w:lineRule="auto"/>
        <w:ind w:left="0" w:firstLine="851"/>
        <w:jc w:val="both"/>
        <w:rPr>
          <w:rFonts w:ascii="Arial" w:hAnsi="Arial" w:cs="Arial"/>
        </w:rPr>
      </w:pPr>
      <w:r w:rsidRPr="00490FC8">
        <w:rPr>
          <w:rFonts w:ascii="Arial" w:hAnsi="Arial" w:cs="Arial"/>
        </w:rPr>
        <w:t xml:space="preserve">Kit de batoques fabricados em madeira contendo 10 batoques. </w:t>
      </w:r>
    </w:p>
    <w:p w:rsidR="00490FC8" w:rsidRDefault="00490FC8" w:rsidP="00490FC8">
      <w:pPr>
        <w:numPr>
          <w:ilvl w:val="0"/>
          <w:numId w:val="5"/>
        </w:numPr>
        <w:spacing w:line="360" w:lineRule="auto"/>
        <w:ind w:left="0" w:firstLine="851"/>
        <w:jc w:val="both"/>
        <w:rPr>
          <w:rFonts w:ascii="Arial" w:hAnsi="Arial" w:cs="Arial"/>
        </w:rPr>
      </w:pPr>
      <w:r w:rsidRPr="00490FC8">
        <w:rPr>
          <w:rFonts w:ascii="Arial" w:hAnsi="Arial" w:cs="Arial"/>
        </w:rPr>
        <w:t xml:space="preserve">Os batoques fabricados em madeira devem ter formato tronco cônico com altura entre 9 e 12 cm e o diâmetro maior </w:t>
      </w:r>
      <w:r>
        <w:rPr>
          <w:rFonts w:ascii="Arial" w:hAnsi="Arial" w:cs="Arial"/>
        </w:rPr>
        <w:t>entre 1,9 e 6,5 cm, sua superfície deve ser isenta de cascas, rachaduras ou pontos afetados por insetos.</w:t>
      </w:r>
    </w:p>
    <w:p w:rsidR="00490FC8" w:rsidRDefault="00490FC8" w:rsidP="00490FC8">
      <w:pPr>
        <w:spacing w:line="360" w:lineRule="auto"/>
        <w:ind w:firstLine="851"/>
        <w:jc w:val="both"/>
        <w:rPr>
          <w:rFonts w:ascii="Arial" w:hAnsi="Arial" w:cs="Arial"/>
        </w:rPr>
      </w:pPr>
      <w:r>
        <w:rPr>
          <w:rFonts w:ascii="Arial" w:hAnsi="Arial" w:cs="Arial"/>
        </w:rPr>
        <w:t>5.1.7 Massa de vedação 1 kg</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6"/>
        </w:numPr>
        <w:spacing w:line="360" w:lineRule="auto"/>
        <w:ind w:left="0" w:firstLine="851"/>
        <w:jc w:val="both"/>
        <w:rPr>
          <w:rFonts w:ascii="Arial" w:hAnsi="Arial" w:cs="Arial"/>
        </w:rPr>
      </w:pPr>
      <w:r>
        <w:rPr>
          <w:rFonts w:ascii="Arial" w:hAnsi="Arial" w:cs="Arial"/>
        </w:rPr>
        <w:t xml:space="preserve">Pó para preparo de massa para vedação, composto de polímero acrílico, polietileno glicol, diatomita e bentonita, para preparo de massa para vedação instantânea e temporária. </w:t>
      </w:r>
    </w:p>
    <w:p w:rsidR="00490FC8" w:rsidRDefault="00490FC8" w:rsidP="00490FC8">
      <w:pPr>
        <w:numPr>
          <w:ilvl w:val="0"/>
          <w:numId w:val="6"/>
        </w:numPr>
        <w:spacing w:line="360" w:lineRule="auto"/>
        <w:ind w:left="0" w:firstLine="851"/>
        <w:jc w:val="both"/>
        <w:rPr>
          <w:rFonts w:ascii="Arial" w:hAnsi="Arial" w:cs="Arial"/>
        </w:rPr>
      </w:pPr>
      <w:r>
        <w:rPr>
          <w:rFonts w:ascii="Arial" w:hAnsi="Arial" w:cs="Arial"/>
        </w:rPr>
        <w:t xml:space="preserve">Utilização em emergências envolvendo tambores ou tanques perfurados. </w:t>
      </w:r>
    </w:p>
    <w:p w:rsidR="00490FC8" w:rsidRDefault="00490FC8" w:rsidP="00490FC8">
      <w:pPr>
        <w:numPr>
          <w:ilvl w:val="0"/>
          <w:numId w:val="6"/>
        </w:numPr>
        <w:spacing w:line="360" w:lineRule="auto"/>
        <w:ind w:left="0" w:firstLine="851"/>
        <w:jc w:val="both"/>
        <w:rPr>
          <w:rFonts w:ascii="Arial" w:hAnsi="Arial" w:cs="Arial"/>
        </w:rPr>
      </w:pPr>
      <w:r>
        <w:rPr>
          <w:rFonts w:ascii="Arial" w:hAnsi="Arial" w:cs="Arial"/>
        </w:rPr>
        <w:t xml:space="preserve">Deve ter capacidade de vedar furos de até 15 cm e fendas de até 2,5 por 30 cm. </w:t>
      </w:r>
    </w:p>
    <w:p w:rsidR="00490FC8" w:rsidRDefault="00490FC8" w:rsidP="00490FC8">
      <w:pPr>
        <w:numPr>
          <w:ilvl w:val="0"/>
          <w:numId w:val="6"/>
        </w:numPr>
        <w:spacing w:line="360" w:lineRule="auto"/>
        <w:ind w:left="0" w:firstLine="851"/>
        <w:jc w:val="both"/>
        <w:rPr>
          <w:rFonts w:ascii="Arial" w:hAnsi="Arial" w:cs="Arial"/>
        </w:rPr>
      </w:pPr>
      <w:r>
        <w:rPr>
          <w:rFonts w:ascii="Arial" w:hAnsi="Arial" w:cs="Arial"/>
        </w:rPr>
        <w:t>A mistura deve proporcionar resistência mecânica para tamponamento de vazamentos com pressão aproximada de 1 metro de coluna de água ou 1,5 PSI.</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5.1.8 Barreira de absorção de 3 metros</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7"/>
        </w:numPr>
        <w:spacing w:line="360" w:lineRule="auto"/>
        <w:ind w:left="0" w:firstLine="851"/>
        <w:jc w:val="both"/>
        <w:rPr>
          <w:rFonts w:ascii="Arial" w:hAnsi="Arial" w:cs="Arial"/>
        </w:rPr>
      </w:pPr>
      <w:r>
        <w:rPr>
          <w:rFonts w:ascii="Arial" w:hAnsi="Arial" w:cs="Arial"/>
        </w:rPr>
        <w:t xml:space="preserve">Barreira de absorção hidrofóbica composta em material sintético, polipropileno atóxico, fabricada com microfibras de multifilamentos contínuos sobrepostas e unidas entre si. </w:t>
      </w:r>
    </w:p>
    <w:p w:rsidR="00490FC8" w:rsidRDefault="00490FC8" w:rsidP="00490FC8">
      <w:pPr>
        <w:numPr>
          <w:ilvl w:val="0"/>
          <w:numId w:val="7"/>
        </w:numPr>
        <w:spacing w:line="360" w:lineRule="auto"/>
        <w:ind w:left="0" w:firstLine="851"/>
        <w:jc w:val="both"/>
        <w:rPr>
          <w:rFonts w:ascii="Arial" w:hAnsi="Arial" w:cs="Arial"/>
        </w:rPr>
      </w:pPr>
      <w:r>
        <w:rPr>
          <w:rFonts w:ascii="Arial" w:hAnsi="Arial" w:cs="Arial"/>
        </w:rPr>
        <w:t>Destinadas à absorção de derivados petróleo e seus derivados. Comprimento de 300cm e diâmetro de 20cm.</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5.1.9 Pacote de turfa 10 kg</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8"/>
        </w:numPr>
        <w:spacing w:line="360" w:lineRule="auto"/>
        <w:ind w:left="0" w:firstLine="851"/>
        <w:jc w:val="both"/>
        <w:rPr>
          <w:rFonts w:ascii="Arial" w:hAnsi="Arial" w:cs="Arial"/>
        </w:rPr>
      </w:pPr>
      <w:r>
        <w:rPr>
          <w:rFonts w:ascii="Arial" w:hAnsi="Arial" w:cs="Arial"/>
        </w:rPr>
        <w:t xml:space="preserve">Produto absorvente tipo turfa, deve ser constituído de material 100% natural, biodegradável e não tóxico, adequado para ações de emergências ambientais envolvendo hidrocarbonetos e outros produtos químicos. </w:t>
      </w:r>
    </w:p>
    <w:p w:rsidR="00490FC8" w:rsidRDefault="00490FC8" w:rsidP="00490FC8">
      <w:pPr>
        <w:numPr>
          <w:ilvl w:val="0"/>
          <w:numId w:val="8"/>
        </w:numPr>
        <w:spacing w:line="360" w:lineRule="auto"/>
        <w:ind w:left="0" w:firstLine="851"/>
        <w:jc w:val="both"/>
        <w:rPr>
          <w:rFonts w:ascii="Arial" w:hAnsi="Arial" w:cs="Arial"/>
        </w:rPr>
      </w:pPr>
      <w:r>
        <w:rPr>
          <w:rFonts w:ascii="Arial" w:hAnsi="Arial" w:cs="Arial"/>
        </w:rPr>
        <w:t xml:space="preserve">O material deve possuir capacidade de encapsulamento e biodegradação do produto absorvido e deve ser embalado em saco plástico de 10 kg. </w:t>
      </w:r>
    </w:p>
    <w:p w:rsidR="00490FC8" w:rsidRDefault="00490FC8" w:rsidP="00490FC8">
      <w:pPr>
        <w:numPr>
          <w:ilvl w:val="0"/>
          <w:numId w:val="8"/>
        </w:numPr>
        <w:spacing w:line="360" w:lineRule="auto"/>
        <w:ind w:left="0" w:firstLine="851"/>
        <w:jc w:val="both"/>
        <w:rPr>
          <w:rFonts w:ascii="Arial" w:hAnsi="Arial" w:cs="Arial"/>
        </w:rPr>
      </w:pPr>
      <w:r>
        <w:rPr>
          <w:rFonts w:ascii="Arial" w:hAnsi="Arial" w:cs="Arial"/>
        </w:rPr>
        <w:t>Deve possuir capacidade para absorção de 5 litros por kg.</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5.1.10 Pacote de sorbes 10 kg</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9"/>
        </w:numPr>
        <w:spacing w:line="360" w:lineRule="auto"/>
        <w:ind w:left="0" w:firstLine="851"/>
        <w:jc w:val="both"/>
        <w:rPr>
          <w:rFonts w:ascii="Arial" w:hAnsi="Arial" w:cs="Arial"/>
        </w:rPr>
      </w:pPr>
      <w:r>
        <w:rPr>
          <w:rFonts w:ascii="Arial" w:hAnsi="Arial" w:cs="Arial"/>
        </w:rPr>
        <w:t>Pacote contendo material sólido granulado com capacidade de absorção e adsorção de hidrocarbonetos e outros óleos.</w:t>
      </w:r>
    </w:p>
    <w:p w:rsidR="00490FC8" w:rsidRDefault="00490FC8" w:rsidP="00490FC8">
      <w:pPr>
        <w:numPr>
          <w:ilvl w:val="0"/>
          <w:numId w:val="9"/>
        </w:numPr>
        <w:spacing w:line="360" w:lineRule="auto"/>
        <w:ind w:left="0" w:firstLine="851"/>
        <w:jc w:val="both"/>
        <w:rPr>
          <w:rFonts w:ascii="Arial" w:hAnsi="Arial" w:cs="Arial"/>
        </w:rPr>
      </w:pPr>
      <w:r>
        <w:rPr>
          <w:rFonts w:ascii="Arial" w:hAnsi="Arial" w:cs="Arial"/>
        </w:rPr>
        <w:t xml:space="preserve"> Hidrofóbico (não absorve água), pode ser aplicado tanto sobre ambiente terreno sólido quanto aquático. </w:t>
      </w:r>
    </w:p>
    <w:p w:rsidR="00490FC8" w:rsidRDefault="00490FC8" w:rsidP="00490FC8">
      <w:pPr>
        <w:numPr>
          <w:ilvl w:val="0"/>
          <w:numId w:val="9"/>
        </w:numPr>
        <w:spacing w:line="360" w:lineRule="auto"/>
        <w:ind w:left="0" w:firstLine="851"/>
        <w:jc w:val="both"/>
        <w:rPr>
          <w:rFonts w:ascii="Arial" w:hAnsi="Arial" w:cs="Arial"/>
        </w:rPr>
      </w:pPr>
      <w:r>
        <w:rPr>
          <w:rFonts w:ascii="Arial" w:hAnsi="Arial" w:cs="Arial"/>
        </w:rPr>
        <w:t xml:space="preserve">Agrega em sua composição, no mínimo 10 vezes o seu peso em material absorvido e adsorvido. </w:t>
      </w:r>
    </w:p>
    <w:p w:rsidR="00490FC8" w:rsidRDefault="00490FC8" w:rsidP="00490FC8">
      <w:pPr>
        <w:numPr>
          <w:ilvl w:val="0"/>
          <w:numId w:val="9"/>
        </w:numPr>
        <w:spacing w:line="360" w:lineRule="auto"/>
        <w:ind w:left="0" w:firstLine="851"/>
        <w:jc w:val="both"/>
        <w:rPr>
          <w:rFonts w:ascii="Arial" w:hAnsi="Arial" w:cs="Arial"/>
        </w:rPr>
      </w:pPr>
      <w:r>
        <w:rPr>
          <w:rFonts w:ascii="Arial" w:hAnsi="Arial" w:cs="Arial"/>
        </w:rPr>
        <w:t>Pacote com 10 kg.</w:t>
      </w:r>
    </w:p>
    <w:p w:rsidR="00490FC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rPr>
      </w:pPr>
      <w:r>
        <w:rPr>
          <w:rFonts w:ascii="Arial" w:hAnsi="Arial" w:cs="Arial"/>
        </w:rPr>
        <w:t>5.1.11 Caixa de manta de absorção</w:t>
      </w:r>
    </w:p>
    <w:p w:rsidR="00490FC8" w:rsidRDefault="00490FC8" w:rsidP="00490FC8">
      <w:pPr>
        <w:spacing w:line="360" w:lineRule="auto"/>
        <w:ind w:firstLine="851"/>
        <w:jc w:val="both"/>
        <w:rPr>
          <w:rFonts w:ascii="Arial" w:hAnsi="Arial" w:cs="Arial"/>
        </w:rPr>
      </w:pPr>
    </w:p>
    <w:p w:rsidR="00490FC8" w:rsidRDefault="00490FC8" w:rsidP="00490FC8">
      <w:pPr>
        <w:numPr>
          <w:ilvl w:val="0"/>
          <w:numId w:val="10"/>
        </w:numPr>
        <w:spacing w:line="360" w:lineRule="auto"/>
        <w:ind w:left="0" w:firstLine="851"/>
        <w:jc w:val="both"/>
        <w:rPr>
          <w:rFonts w:ascii="Arial" w:hAnsi="Arial" w:cs="Arial"/>
        </w:rPr>
      </w:pPr>
      <w:r>
        <w:rPr>
          <w:rFonts w:ascii="Arial" w:hAnsi="Arial" w:cs="Arial"/>
        </w:rPr>
        <w:t xml:space="preserve">Caixa contendo 50 mantas de absorção, sintéticas à base de 100% polipropileno atóxico extrusado pelo processo Melt Blown – Microfibras de polipropileno sobrepostas que proporcionam alto padrão de retenção. </w:t>
      </w:r>
    </w:p>
    <w:p w:rsidR="00490FC8" w:rsidRDefault="00490FC8" w:rsidP="00490FC8">
      <w:pPr>
        <w:numPr>
          <w:ilvl w:val="0"/>
          <w:numId w:val="10"/>
        </w:numPr>
        <w:spacing w:line="360" w:lineRule="auto"/>
        <w:ind w:left="0" w:firstLine="851"/>
        <w:jc w:val="both"/>
        <w:rPr>
          <w:rFonts w:ascii="Arial" w:hAnsi="Arial" w:cs="Arial"/>
        </w:rPr>
      </w:pPr>
      <w:r>
        <w:rPr>
          <w:rFonts w:ascii="Arial" w:hAnsi="Arial" w:cs="Arial"/>
        </w:rPr>
        <w:t xml:space="preserve">Sua função é absorver petróleo e óleos de superfícies diversas e pequenos vazamentos.    </w:t>
      </w:r>
    </w:p>
    <w:p w:rsidR="00490FC8" w:rsidRDefault="00490FC8" w:rsidP="00490FC8">
      <w:pPr>
        <w:numPr>
          <w:ilvl w:val="0"/>
          <w:numId w:val="10"/>
        </w:numPr>
        <w:spacing w:line="360" w:lineRule="auto"/>
        <w:ind w:left="0" w:firstLine="851"/>
        <w:jc w:val="both"/>
        <w:rPr>
          <w:rFonts w:ascii="Arial" w:hAnsi="Arial" w:cs="Arial"/>
        </w:rPr>
      </w:pPr>
      <w:r>
        <w:rPr>
          <w:rFonts w:ascii="Arial" w:hAnsi="Arial" w:cs="Arial"/>
        </w:rPr>
        <w:lastRenderedPageBreak/>
        <w:t xml:space="preserve">Possui dimensões mínimas: 0,38m x 0,45m, Espessura mínima: 4mm. </w:t>
      </w:r>
    </w:p>
    <w:p w:rsidR="00490FC8" w:rsidRDefault="00490FC8" w:rsidP="00490FC8">
      <w:pPr>
        <w:numPr>
          <w:ilvl w:val="0"/>
          <w:numId w:val="10"/>
        </w:numPr>
        <w:spacing w:line="360" w:lineRule="auto"/>
        <w:ind w:left="0" w:firstLine="851"/>
        <w:jc w:val="both"/>
        <w:rPr>
          <w:rFonts w:ascii="Arial" w:hAnsi="Arial" w:cs="Arial"/>
        </w:rPr>
      </w:pPr>
      <w:r>
        <w:rPr>
          <w:rFonts w:ascii="Arial" w:hAnsi="Arial" w:cs="Arial"/>
        </w:rPr>
        <w:t>Alta capacidade de absorção de hidrocarbonetos, hidrofóbico (não absorve água), possui alta capacidade de flutuabilidade.</w:t>
      </w:r>
    </w:p>
    <w:p w:rsidR="00490FC8" w:rsidRPr="0031312D" w:rsidRDefault="00490FC8" w:rsidP="00490FC8">
      <w:pPr>
        <w:pStyle w:val="SemEspaamento"/>
        <w:spacing w:line="360" w:lineRule="auto"/>
        <w:rPr>
          <w:rFonts w:ascii="Arial" w:hAnsi="Arial" w:cs="Arial"/>
        </w:rPr>
      </w:pPr>
    </w:p>
    <w:p w:rsidR="00490FC8" w:rsidRPr="0031312D" w:rsidRDefault="00490FC8" w:rsidP="00490FC8">
      <w:pPr>
        <w:pStyle w:val="SemEspaamento"/>
        <w:spacing w:line="360" w:lineRule="auto"/>
        <w:ind w:firstLine="709"/>
        <w:rPr>
          <w:rFonts w:ascii="Arial" w:hAnsi="Arial" w:cs="Arial"/>
        </w:rPr>
      </w:pPr>
      <w:r w:rsidRPr="0031312D">
        <w:rPr>
          <w:rFonts w:ascii="Arial" w:hAnsi="Arial" w:cs="Arial"/>
        </w:rPr>
        <w:t xml:space="preserve">5.1.12 </w:t>
      </w:r>
      <w:r>
        <w:rPr>
          <w:rFonts w:ascii="Arial" w:hAnsi="Arial" w:cs="Arial"/>
        </w:rPr>
        <w:t>Silvertape</w:t>
      </w:r>
      <w:r w:rsidRPr="0031312D">
        <w:rPr>
          <w:rFonts w:ascii="Arial" w:hAnsi="Arial" w:cs="Arial"/>
        </w:rPr>
        <w:t xml:space="preserve"> </w:t>
      </w:r>
    </w:p>
    <w:p w:rsidR="00490FC8" w:rsidRPr="0031312D" w:rsidRDefault="00490FC8" w:rsidP="00490FC8">
      <w:pPr>
        <w:pStyle w:val="SemEspaamento"/>
        <w:spacing w:line="360" w:lineRule="auto"/>
        <w:ind w:firstLine="709"/>
        <w:rPr>
          <w:rFonts w:ascii="Arial" w:hAnsi="Arial" w:cs="Arial"/>
        </w:rPr>
      </w:pPr>
      <w:r w:rsidRPr="0031312D">
        <w:rPr>
          <w:rFonts w:ascii="Arial" w:hAnsi="Arial" w:cs="Arial"/>
        </w:rPr>
        <w:t xml:space="preserve">a) Fita constituída de filme de polietileno na cor prata e trama de tecido, cobertas com adesivo de resina e borracha. </w:t>
      </w:r>
    </w:p>
    <w:p w:rsidR="00490FC8" w:rsidRPr="0031312D" w:rsidRDefault="00490FC8" w:rsidP="00490FC8">
      <w:pPr>
        <w:pStyle w:val="SemEspaamento"/>
        <w:spacing w:line="360" w:lineRule="auto"/>
        <w:ind w:firstLine="709"/>
        <w:rPr>
          <w:rFonts w:ascii="Arial" w:hAnsi="Arial" w:cs="Arial"/>
        </w:rPr>
      </w:pPr>
      <w:r w:rsidRPr="0031312D">
        <w:rPr>
          <w:rFonts w:ascii="Arial" w:hAnsi="Arial" w:cs="Arial"/>
        </w:rPr>
        <w:t xml:space="preserve">b) Resistente à abrasão. </w:t>
      </w:r>
    </w:p>
    <w:p w:rsidR="00490FC8" w:rsidRPr="0031312D" w:rsidRDefault="00490FC8" w:rsidP="00490FC8">
      <w:pPr>
        <w:pStyle w:val="SemEspaamento"/>
        <w:spacing w:line="360" w:lineRule="auto"/>
        <w:ind w:firstLine="709"/>
        <w:rPr>
          <w:rFonts w:ascii="Arial" w:hAnsi="Arial" w:cs="Arial"/>
        </w:rPr>
      </w:pPr>
      <w:r w:rsidRPr="0031312D">
        <w:rPr>
          <w:rFonts w:ascii="Arial" w:hAnsi="Arial" w:cs="Arial"/>
        </w:rPr>
        <w:t xml:space="preserve">c) Proporciona proteção contra umidade e resíduos, isolante térmico e vedação temporária. </w:t>
      </w:r>
    </w:p>
    <w:p w:rsidR="00490FC8" w:rsidRPr="0031312D" w:rsidRDefault="00490FC8" w:rsidP="00490FC8">
      <w:pPr>
        <w:pStyle w:val="SemEspaamento"/>
        <w:spacing w:line="360" w:lineRule="auto"/>
        <w:ind w:firstLine="709"/>
        <w:rPr>
          <w:rFonts w:ascii="Arial" w:hAnsi="Arial" w:cs="Arial"/>
        </w:rPr>
      </w:pPr>
      <w:r w:rsidRPr="0031312D">
        <w:rPr>
          <w:rFonts w:ascii="Arial" w:hAnsi="Arial" w:cs="Arial"/>
        </w:rPr>
        <w:t xml:space="preserve">d) Comprimento de 50 metros. </w:t>
      </w:r>
    </w:p>
    <w:p w:rsidR="00490FC8" w:rsidRDefault="00490FC8" w:rsidP="00490FC8">
      <w:pPr>
        <w:pStyle w:val="SemEspaamento"/>
        <w:spacing w:line="360" w:lineRule="auto"/>
        <w:ind w:firstLine="709"/>
        <w:rPr>
          <w:rFonts w:ascii="Arial" w:hAnsi="Arial" w:cs="Arial"/>
        </w:rPr>
      </w:pPr>
      <w:r w:rsidRPr="0031312D">
        <w:rPr>
          <w:rFonts w:ascii="Arial" w:hAnsi="Arial" w:cs="Arial"/>
        </w:rPr>
        <w:t xml:space="preserve">e) Largura de 45 mm a 50 mm. </w:t>
      </w:r>
    </w:p>
    <w:p w:rsidR="00490FC8" w:rsidRPr="0031312D" w:rsidRDefault="00490FC8" w:rsidP="00490FC8">
      <w:pPr>
        <w:pStyle w:val="SemEspaamento"/>
        <w:spacing w:line="360" w:lineRule="auto"/>
        <w:ind w:firstLine="709"/>
        <w:rPr>
          <w:rFonts w:ascii="Arial" w:hAnsi="Arial" w:cs="Arial"/>
        </w:rPr>
      </w:pPr>
    </w:p>
    <w:p w:rsidR="00490FC8" w:rsidRDefault="00490FC8" w:rsidP="00490FC8">
      <w:pPr>
        <w:spacing w:line="360" w:lineRule="auto"/>
        <w:ind w:firstLine="851"/>
        <w:jc w:val="both"/>
        <w:rPr>
          <w:rFonts w:ascii="Arial" w:hAnsi="Arial" w:cs="Arial"/>
          <w:b/>
          <w:u w:val="single"/>
        </w:rPr>
      </w:pPr>
      <w:r>
        <w:rPr>
          <w:rFonts w:ascii="Arial" w:hAnsi="Arial" w:cs="Arial"/>
          <w:b/>
          <w:u w:val="single"/>
        </w:rPr>
        <w:t>6. AMOSTRAS</w:t>
      </w:r>
    </w:p>
    <w:p w:rsidR="00490FC8" w:rsidRPr="00490FC8" w:rsidRDefault="00490FC8" w:rsidP="00490FC8">
      <w:pPr>
        <w:spacing w:line="360" w:lineRule="auto"/>
        <w:ind w:firstLine="851"/>
        <w:jc w:val="both"/>
        <w:rPr>
          <w:rFonts w:ascii="Arial" w:hAnsi="Arial" w:cs="Arial"/>
        </w:rPr>
      </w:pPr>
      <w:r w:rsidRPr="00490FC8">
        <w:rPr>
          <w:rFonts w:ascii="Arial" w:hAnsi="Arial" w:cs="Arial"/>
        </w:rPr>
        <w:t xml:space="preserve">Será exigida apresentação de amostras de todos os produtos, anterior à assinatura do contrato para análise dos materiais oferecidos, conforme disposto no Edital. </w:t>
      </w:r>
      <w:r w:rsidRPr="00490FC8">
        <w:rPr>
          <w:rFonts w:ascii="Arial" w:hAnsi="Arial"/>
          <w:bCs/>
        </w:rPr>
        <w:t xml:space="preserve">A empresa classificada em primeiro lugar deverá, num prazo máximo de 07 (sete) dias, entregar amostras dos produtos </w:t>
      </w:r>
      <w:r w:rsidRPr="00490FC8">
        <w:rPr>
          <w:rFonts w:ascii="Arial" w:hAnsi="Arial"/>
        </w:rPr>
        <w:t>na sede da SEDEST, na Rua Desembargador Motta, 3.384 – Bairro Mercês, Curitiba/Paraná,</w:t>
      </w:r>
      <w:r w:rsidRPr="00490FC8">
        <w:rPr>
          <w:rFonts w:ascii="Arial" w:hAnsi="Arial"/>
          <w:bCs/>
        </w:rPr>
        <w:t xml:space="preserve"> para análise da Comissão especialmente nomeada para tal fim.</w:t>
      </w:r>
    </w:p>
    <w:p w:rsidR="00490FC8" w:rsidRPr="00490FC8" w:rsidRDefault="00490FC8" w:rsidP="00490FC8">
      <w:pPr>
        <w:spacing w:line="360" w:lineRule="auto"/>
        <w:ind w:firstLine="851"/>
        <w:jc w:val="both"/>
        <w:rPr>
          <w:rFonts w:ascii="Arial" w:hAnsi="Arial"/>
          <w:b/>
          <w:bCs/>
          <w:szCs w:val="22"/>
        </w:rPr>
      </w:pPr>
      <w:r w:rsidRPr="00490FC8">
        <w:rPr>
          <w:rFonts w:ascii="Arial" w:hAnsi="Arial"/>
          <w:bCs/>
          <w:szCs w:val="22"/>
        </w:rPr>
        <w:t xml:space="preserve">A Comissão fará a análise dos produtos, em até 15 (quinze) dias corridos após o recebimento do material, confeccionando parecer favorável ou desfavorável sobre o recebimento definitivo. </w:t>
      </w:r>
      <w:r w:rsidRPr="00490FC8">
        <w:rPr>
          <w:rFonts w:ascii="Arial" w:hAnsi="Arial"/>
          <w:b/>
          <w:bCs/>
          <w:szCs w:val="22"/>
        </w:rPr>
        <w:t xml:space="preserve"> </w:t>
      </w:r>
    </w:p>
    <w:p w:rsidR="00490FC8" w:rsidRPr="00490FC8" w:rsidRDefault="00490FC8" w:rsidP="00490FC8">
      <w:pPr>
        <w:spacing w:line="360" w:lineRule="auto"/>
        <w:ind w:firstLine="851"/>
        <w:jc w:val="both"/>
        <w:rPr>
          <w:rFonts w:ascii="Arial" w:hAnsi="Arial"/>
          <w:bCs/>
          <w:szCs w:val="22"/>
        </w:rPr>
      </w:pPr>
      <w:r w:rsidRPr="00490FC8">
        <w:rPr>
          <w:rFonts w:ascii="Arial" w:hAnsi="Arial"/>
          <w:bCs/>
          <w:szCs w:val="22"/>
        </w:rPr>
        <w:t xml:space="preserve">Caso o parecer seja desfavorável, a empresa classificada em primeiro lugar deverá substituir as amostras num prazo máximo de 05 (cinco) dias, para nova análise. Não sendo aceitos os produtos entregues nesta nova análise, será a empresa considerada desclassificada, sendo convocada a segunda empresa melhor classificada. </w:t>
      </w:r>
    </w:p>
    <w:p w:rsidR="00490FC8" w:rsidRPr="00490FC8" w:rsidRDefault="00490FC8" w:rsidP="00490FC8">
      <w:pPr>
        <w:spacing w:line="360" w:lineRule="auto"/>
        <w:ind w:firstLine="851"/>
        <w:jc w:val="both"/>
        <w:rPr>
          <w:rFonts w:ascii="Arial" w:hAnsi="Arial"/>
          <w:bCs/>
          <w:szCs w:val="22"/>
        </w:rPr>
      </w:pPr>
      <w:r w:rsidRPr="00490FC8">
        <w:rPr>
          <w:rFonts w:ascii="Arial" w:hAnsi="Arial"/>
        </w:rPr>
        <w:t xml:space="preserve">Sendo favorável o parecer, a empresa vencedora será notificada e deverá entregar os materiais no Centro de Apoio Logístico da Defesa Civil Estadual, na Rua Sergipe, nº 1.712 – bairro Guaíra, Curitiba/Paraná no prazo máximo de </w:t>
      </w:r>
      <w:r w:rsidRPr="00490FC8">
        <w:rPr>
          <w:rFonts w:ascii="Arial" w:hAnsi="Arial"/>
          <w:b/>
          <w:u w:val="single"/>
        </w:rPr>
        <w:t>30</w:t>
      </w:r>
      <w:r w:rsidRPr="00490FC8">
        <w:rPr>
          <w:rFonts w:ascii="Arial" w:hAnsi="Arial"/>
          <w:b/>
          <w:bCs/>
          <w:u w:val="single"/>
        </w:rPr>
        <w:t>(trinta)</w:t>
      </w:r>
      <w:r w:rsidRPr="00490FC8">
        <w:rPr>
          <w:rFonts w:ascii="Arial" w:hAnsi="Arial"/>
        </w:rPr>
        <w:t xml:space="preserve"> dias a contar da </w:t>
      </w:r>
      <w:r w:rsidRPr="00490FC8">
        <w:rPr>
          <w:rFonts w:ascii="Arial" w:hAnsi="Arial"/>
          <w:szCs w:val="22"/>
        </w:rPr>
        <w:t>Ordem de Compra (ou documento equivalente)</w:t>
      </w:r>
      <w:r w:rsidRPr="00490FC8">
        <w:rPr>
          <w:rFonts w:ascii="Arial" w:hAnsi="Arial"/>
        </w:rPr>
        <w:t>.</w:t>
      </w:r>
    </w:p>
    <w:p w:rsidR="00490FC8" w:rsidRPr="00B02692" w:rsidRDefault="00490FC8" w:rsidP="00490FC8">
      <w:pPr>
        <w:spacing w:line="360" w:lineRule="auto"/>
        <w:ind w:firstLine="851"/>
        <w:jc w:val="both"/>
        <w:rPr>
          <w:rFonts w:ascii="Arial" w:hAnsi="Arial" w:cs="Arial"/>
          <w:color w:val="00B050"/>
        </w:rPr>
      </w:pPr>
    </w:p>
    <w:p w:rsidR="00490FC8" w:rsidRPr="00C54728" w:rsidRDefault="00490FC8" w:rsidP="00490FC8">
      <w:pPr>
        <w:spacing w:line="360" w:lineRule="auto"/>
        <w:ind w:firstLine="851"/>
        <w:jc w:val="both"/>
        <w:rPr>
          <w:rFonts w:ascii="Arial" w:hAnsi="Arial" w:cs="Arial"/>
        </w:rPr>
      </w:pPr>
    </w:p>
    <w:p w:rsidR="00490FC8" w:rsidRDefault="00490FC8" w:rsidP="00490FC8">
      <w:pPr>
        <w:spacing w:line="360" w:lineRule="auto"/>
        <w:ind w:firstLine="851"/>
        <w:jc w:val="both"/>
        <w:rPr>
          <w:rFonts w:ascii="Arial" w:hAnsi="Arial" w:cs="Arial"/>
          <w:b/>
          <w:szCs w:val="22"/>
          <w:u w:val="single"/>
        </w:rPr>
      </w:pPr>
      <w:r>
        <w:rPr>
          <w:rFonts w:ascii="Arial" w:hAnsi="Arial" w:cs="Arial"/>
          <w:b/>
          <w:u w:val="single"/>
        </w:rPr>
        <w:t>7. PRAZO DE ENTREGA</w:t>
      </w:r>
    </w:p>
    <w:p w:rsidR="00490FC8" w:rsidRPr="00490FC8" w:rsidRDefault="00490FC8" w:rsidP="00490FC8">
      <w:pPr>
        <w:spacing w:line="360" w:lineRule="auto"/>
        <w:ind w:firstLine="851"/>
        <w:jc w:val="both"/>
        <w:rPr>
          <w:rFonts w:ascii="Arial" w:hAnsi="Arial" w:cs="Arial"/>
        </w:rPr>
      </w:pPr>
      <w:r w:rsidRPr="00490FC8">
        <w:rPr>
          <w:rFonts w:ascii="Arial" w:hAnsi="Arial" w:cs="Arial"/>
        </w:rPr>
        <w:t>A entrega dos materiais solicitados deverá ser feita em até 30 (trinta) dias corridos, em parcela única, contados a partir do recebimento da Nota de Empenho e após aprovação das amostras apresentadas.</w:t>
      </w:r>
    </w:p>
    <w:p w:rsidR="00490FC8" w:rsidRPr="00490FC8" w:rsidRDefault="00490FC8" w:rsidP="00490FC8">
      <w:pPr>
        <w:spacing w:line="360" w:lineRule="auto"/>
        <w:ind w:firstLine="851"/>
        <w:jc w:val="both"/>
        <w:rPr>
          <w:rFonts w:ascii="Arial" w:hAnsi="Arial" w:cs="Arial"/>
          <w:b/>
          <w:u w:val="single"/>
        </w:rPr>
      </w:pPr>
    </w:p>
    <w:p w:rsidR="00490FC8" w:rsidRDefault="00490FC8" w:rsidP="00490FC8">
      <w:pPr>
        <w:spacing w:line="360" w:lineRule="auto"/>
        <w:ind w:firstLine="851"/>
        <w:jc w:val="both"/>
        <w:rPr>
          <w:rFonts w:ascii="Arial" w:hAnsi="Arial" w:cs="Arial"/>
          <w:b/>
          <w:szCs w:val="22"/>
          <w:u w:val="single"/>
        </w:rPr>
      </w:pPr>
      <w:r>
        <w:rPr>
          <w:rFonts w:ascii="Arial" w:hAnsi="Arial" w:cs="Arial"/>
          <w:b/>
          <w:u w:val="single"/>
        </w:rPr>
        <w:t>8. LOCAL DE ENTREGA DEFINITIVA</w:t>
      </w:r>
    </w:p>
    <w:p w:rsidR="00490FC8" w:rsidRDefault="00490FC8" w:rsidP="00490FC8">
      <w:pPr>
        <w:spacing w:line="360" w:lineRule="auto"/>
        <w:ind w:firstLine="851"/>
        <w:jc w:val="both"/>
        <w:rPr>
          <w:rFonts w:ascii="Arial" w:hAnsi="Arial" w:cs="Arial"/>
        </w:rPr>
      </w:pPr>
      <w:r>
        <w:rPr>
          <w:rFonts w:ascii="Arial" w:hAnsi="Arial" w:cs="Arial"/>
        </w:rPr>
        <w:t>A entrega definitiva será feita no Centro de Apoio Logístico.</w:t>
      </w:r>
    </w:p>
    <w:p w:rsidR="00490FC8" w:rsidRDefault="00490FC8" w:rsidP="00490FC8">
      <w:pPr>
        <w:spacing w:line="360" w:lineRule="auto"/>
        <w:ind w:firstLine="851"/>
        <w:jc w:val="both"/>
        <w:rPr>
          <w:rFonts w:ascii="Arial" w:hAnsi="Arial" w:cs="Arial"/>
          <w:szCs w:val="22"/>
        </w:rPr>
      </w:pPr>
      <w:r>
        <w:rPr>
          <w:rFonts w:ascii="Arial" w:hAnsi="Arial" w:cs="Arial"/>
        </w:rPr>
        <w:t xml:space="preserve">Rua Sergipe, nº 1.712. Bairro Guaíra, Curitiba – PR. </w:t>
      </w:r>
    </w:p>
    <w:p w:rsidR="00490FC8" w:rsidRDefault="00490FC8" w:rsidP="00490FC8">
      <w:pPr>
        <w:spacing w:line="360" w:lineRule="auto"/>
        <w:ind w:firstLine="851"/>
        <w:jc w:val="both"/>
        <w:rPr>
          <w:rFonts w:ascii="Arial" w:hAnsi="Arial" w:cs="Arial"/>
          <w:b/>
          <w:color w:val="FF0000"/>
          <w:u w:val="single"/>
        </w:rPr>
      </w:pPr>
    </w:p>
    <w:p w:rsidR="00490FC8" w:rsidRDefault="00490FC8" w:rsidP="00490FC8">
      <w:pPr>
        <w:spacing w:line="360" w:lineRule="auto"/>
        <w:ind w:firstLine="851"/>
        <w:jc w:val="both"/>
        <w:rPr>
          <w:rFonts w:ascii="Arial" w:hAnsi="Arial" w:cs="Arial"/>
          <w:b/>
          <w:szCs w:val="22"/>
          <w:u w:val="single"/>
        </w:rPr>
      </w:pPr>
      <w:r>
        <w:rPr>
          <w:rFonts w:ascii="Arial" w:hAnsi="Arial" w:cs="Arial"/>
          <w:b/>
          <w:u w:val="single"/>
        </w:rPr>
        <w:t>9.CRITÉRIOS DA ESCOLHA DA PROPOSTA</w:t>
      </w:r>
    </w:p>
    <w:p w:rsidR="00490FC8" w:rsidRDefault="00490FC8" w:rsidP="00490FC8">
      <w:pPr>
        <w:spacing w:line="360" w:lineRule="auto"/>
        <w:ind w:firstLine="851"/>
        <w:jc w:val="both"/>
        <w:rPr>
          <w:rFonts w:ascii="Arial" w:hAnsi="Arial" w:cs="Arial"/>
          <w:szCs w:val="22"/>
        </w:rPr>
      </w:pPr>
      <w:r>
        <w:rPr>
          <w:rFonts w:ascii="Arial" w:hAnsi="Arial" w:cs="Arial"/>
        </w:rPr>
        <w:t>Menor valor apresentado por item, atendendo as características descritas no edital.</w:t>
      </w:r>
    </w:p>
    <w:p w:rsidR="00490FC8" w:rsidRDefault="00490FC8" w:rsidP="00490FC8">
      <w:pPr>
        <w:spacing w:line="360" w:lineRule="auto"/>
        <w:ind w:firstLine="851"/>
        <w:jc w:val="both"/>
        <w:rPr>
          <w:rFonts w:ascii="Arial" w:hAnsi="Arial" w:cs="Arial"/>
          <w:b/>
          <w:color w:val="FF0000"/>
          <w:u w:val="single"/>
        </w:rPr>
      </w:pPr>
    </w:p>
    <w:p w:rsidR="00490FC8" w:rsidRDefault="00490FC8" w:rsidP="00490FC8">
      <w:pPr>
        <w:spacing w:line="360" w:lineRule="auto"/>
        <w:ind w:firstLine="851"/>
        <w:jc w:val="both"/>
        <w:rPr>
          <w:rFonts w:ascii="Arial" w:hAnsi="Arial" w:cs="Arial"/>
          <w:b/>
          <w:szCs w:val="22"/>
          <w:u w:val="single"/>
        </w:rPr>
      </w:pPr>
      <w:r>
        <w:rPr>
          <w:rFonts w:ascii="Arial" w:hAnsi="Arial" w:cs="Arial"/>
          <w:b/>
          <w:u w:val="single"/>
        </w:rPr>
        <w:t>10. DA FISCALIZAÇÃO</w:t>
      </w:r>
    </w:p>
    <w:p w:rsidR="00490FC8" w:rsidRDefault="00490FC8" w:rsidP="00490FC8">
      <w:pPr>
        <w:spacing w:line="360" w:lineRule="auto"/>
        <w:ind w:firstLine="851"/>
        <w:jc w:val="both"/>
        <w:rPr>
          <w:rFonts w:ascii="Arial" w:hAnsi="Arial" w:cs="Arial"/>
          <w:szCs w:val="22"/>
        </w:rPr>
      </w:pPr>
      <w:r>
        <w:rPr>
          <w:rFonts w:ascii="Arial" w:hAnsi="Arial" w:cs="Arial"/>
        </w:rPr>
        <w:t xml:space="preserve">A fiscalização será realizada durante a entrega dos equipamentos por </w:t>
      </w:r>
      <w:r w:rsidRPr="00490FC8">
        <w:rPr>
          <w:rFonts w:ascii="Arial" w:hAnsi="Arial" w:cs="Arial"/>
        </w:rPr>
        <w:t xml:space="preserve">técnico da SEDEST e da Coordenadoria </w:t>
      </w:r>
      <w:r>
        <w:rPr>
          <w:rFonts w:ascii="Arial" w:hAnsi="Arial" w:cs="Arial"/>
        </w:rPr>
        <w:t>Estadual de Proteção e Defesa Civil.</w:t>
      </w:r>
    </w:p>
    <w:p w:rsidR="00490FC8" w:rsidRDefault="00490FC8" w:rsidP="00490FC8">
      <w:pPr>
        <w:spacing w:line="360" w:lineRule="auto"/>
        <w:ind w:firstLine="851"/>
        <w:jc w:val="both"/>
        <w:rPr>
          <w:rFonts w:ascii="Arial" w:hAnsi="Arial" w:cs="Arial"/>
          <w:b/>
          <w:u w:val="single"/>
        </w:rPr>
      </w:pPr>
    </w:p>
    <w:p w:rsidR="00490FC8" w:rsidRDefault="00490FC8" w:rsidP="00490FC8">
      <w:pPr>
        <w:spacing w:line="360" w:lineRule="auto"/>
        <w:ind w:firstLine="851"/>
        <w:jc w:val="both"/>
        <w:rPr>
          <w:rFonts w:ascii="Arial" w:hAnsi="Arial" w:cs="Arial"/>
          <w:b/>
          <w:u w:val="single"/>
        </w:rPr>
      </w:pPr>
      <w:r>
        <w:rPr>
          <w:rFonts w:ascii="Arial" w:hAnsi="Arial" w:cs="Arial"/>
          <w:b/>
          <w:u w:val="single"/>
        </w:rPr>
        <w:t xml:space="preserve">11. DO RECEBIMENTO DEFINITIVO </w:t>
      </w:r>
    </w:p>
    <w:p w:rsidR="00490FC8" w:rsidRPr="006946A5" w:rsidRDefault="00490FC8" w:rsidP="00490FC8">
      <w:pPr>
        <w:pStyle w:val="Default"/>
        <w:spacing w:line="360" w:lineRule="auto"/>
        <w:ind w:firstLine="709"/>
        <w:jc w:val="both"/>
      </w:pPr>
      <w:r w:rsidRPr="006946A5">
        <w:t xml:space="preserve">Haverá o recebimento provisório dos itens no momento de sua entrega pela Contratada. </w:t>
      </w:r>
    </w:p>
    <w:p w:rsidR="00490FC8" w:rsidRPr="006946A5" w:rsidRDefault="00490FC8" w:rsidP="00490FC8">
      <w:pPr>
        <w:pStyle w:val="Default"/>
        <w:spacing w:line="360" w:lineRule="auto"/>
        <w:ind w:firstLine="709"/>
        <w:jc w:val="both"/>
      </w:pPr>
      <w:r w:rsidRPr="006946A5">
        <w:t xml:space="preserve">O recebimento definitivo ficará condicionado à análise de equipe especializada sobre a conformidade dos materiais com o disposto em Edital, emitindo parecer favorável ao recebimento definitivo dos materiais. </w:t>
      </w:r>
    </w:p>
    <w:p w:rsidR="00490FC8" w:rsidRDefault="00490FC8" w:rsidP="00490FC8">
      <w:pPr>
        <w:spacing w:line="360" w:lineRule="auto"/>
        <w:ind w:firstLine="851"/>
        <w:jc w:val="both"/>
        <w:rPr>
          <w:rFonts w:ascii="Arial" w:hAnsi="Arial" w:cs="Arial"/>
        </w:rPr>
      </w:pPr>
      <w:r w:rsidRPr="006946A5">
        <w:rPr>
          <w:rFonts w:ascii="Arial" w:hAnsi="Arial" w:cs="Arial"/>
        </w:rPr>
        <w:t>A Comissão de Recebimento terá até 15 (quinze) dias corridos a partir do recebimento dos materiais para fazer a avaliação.</w:t>
      </w:r>
    </w:p>
    <w:p w:rsidR="00490FC8" w:rsidRDefault="00490FC8" w:rsidP="00490FC8">
      <w:pPr>
        <w:spacing w:line="360" w:lineRule="auto"/>
        <w:ind w:firstLine="851"/>
        <w:jc w:val="both"/>
        <w:rPr>
          <w:rFonts w:ascii="Arial" w:hAnsi="Arial" w:cs="Arial"/>
          <w:b/>
          <w:u w:val="single"/>
        </w:rPr>
      </w:pPr>
    </w:p>
    <w:p w:rsidR="00490FC8" w:rsidRDefault="00490FC8" w:rsidP="00490FC8">
      <w:pPr>
        <w:spacing w:line="360" w:lineRule="auto"/>
        <w:ind w:firstLine="851"/>
        <w:jc w:val="both"/>
        <w:rPr>
          <w:rFonts w:ascii="Arial" w:hAnsi="Arial" w:cs="Arial"/>
          <w:b/>
          <w:szCs w:val="22"/>
          <w:u w:val="single"/>
        </w:rPr>
      </w:pPr>
      <w:r>
        <w:rPr>
          <w:rFonts w:ascii="Arial" w:hAnsi="Arial" w:cs="Arial"/>
          <w:b/>
          <w:u w:val="single"/>
        </w:rPr>
        <w:t>12. DOS PAGAMENTOS</w:t>
      </w:r>
    </w:p>
    <w:p w:rsidR="00490FC8" w:rsidRPr="00490FC8" w:rsidRDefault="00490FC8" w:rsidP="00490FC8">
      <w:pPr>
        <w:spacing w:line="360" w:lineRule="auto"/>
        <w:ind w:firstLine="851"/>
        <w:jc w:val="both"/>
        <w:rPr>
          <w:rFonts w:ascii="Arial" w:hAnsi="Arial" w:cs="Arial"/>
          <w:szCs w:val="22"/>
        </w:rPr>
      </w:pPr>
      <w:r>
        <w:rPr>
          <w:rFonts w:ascii="Arial" w:hAnsi="Arial" w:cs="Arial"/>
        </w:rPr>
        <w:t xml:space="preserve">Os pagamentos serão realizados em até 30 (trinta) dias após o recebimento definitivo dos produtos, através de nota fiscal eletrônica atestada pelo fiscal de contrato, anexada as Certidões Negativas (Estadual, Municipal, INSS, FGTS, Trabalhista e Federal), com depósito em conta corrente da Empresa </w:t>
      </w:r>
      <w:r w:rsidRPr="00490FC8">
        <w:rPr>
          <w:rFonts w:ascii="Arial" w:hAnsi="Arial" w:cs="Arial"/>
        </w:rPr>
        <w:t>cadastrada junto SEDEST.</w:t>
      </w:r>
    </w:p>
    <w:p w:rsidR="00490FC8" w:rsidRDefault="00490FC8" w:rsidP="00490FC8">
      <w:pPr>
        <w:spacing w:line="360" w:lineRule="auto"/>
        <w:ind w:firstLine="851"/>
        <w:jc w:val="both"/>
        <w:rPr>
          <w:rFonts w:ascii="Arial" w:hAnsi="Arial" w:cs="Arial"/>
          <w:b/>
          <w:u w:val="single"/>
        </w:rPr>
      </w:pPr>
    </w:p>
    <w:p w:rsidR="00490FC8" w:rsidRDefault="00490FC8" w:rsidP="00490FC8">
      <w:pPr>
        <w:spacing w:line="360" w:lineRule="auto"/>
        <w:ind w:firstLine="851"/>
        <w:jc w:val="both"/>
        <w:rPr>
          <w:rFonts w:ascii="Arial" w:hAnsi="Arial" w:cs="Arial"/>
          <w:b/>
          <w:szCs w:val="22"/>
          <w:u w:val="single"/>
        </w:rPr>
      </w:pPr>
      <w:r>
        <w:rPr>
          <w:rFonts w:ascii="Arial" w:hAnsi="Arial" w:cs="Arial"/>
          <w:b/>
          <w:u w:val="single"/>
        </w:rPr>
        <w:t>13. DISPOSIÇÕES FINAIS</w:t>
      </w:r>
    </w:p>
    <w:p w:rsidR="00490FC8" w:rsidRDefault="00490FC8" w:rsidP="00490FC8">
      <w:pPr>
        <w:spacing w:line="360" w:lineRule="auto"/>
        <w:ind w:firstLine="851"/>
        <w:jc w:val="both"/>
        <w:rPr>
          <w:rFonts w:ascii="Arial" w:hAnsi="Arial" w:cs="Arial"/>
          <w:szCs w:val="22"/>
        </w:rPr>
      </w:pPr>
      <w:r>
        <w:rPr>
          <w:rFonts w:ascii="Arial" w:hAnsi="Arial" w:cs="Arial"/>
        </w:rPr>
        <w:t>A participação de qualquer proponente vencedor no processo implica a aceitação tácita, incondicional, irrevogável e irretratável dos seus termos, regras e condições. Nos preços já estão inclusas todas as despesas tais como: despesas com funcionários, materiais utilizados, impostos, transportes, taxas ou outras.</w:t>
      </w:r>
    </w:p>
    <w:p w:rsidR="00490FC8" w:rsidRPr="00490FC8" w:rsidRDefault="00490FC8" w:rsidP="00490FC8">
      <w:pPr>
        <w:spacing w:line="360" w:lineRule="auto"/>
        <w:ind w:firstLine="851"/>
        <w:jc w:val="center"/>
        <w:rPr>
          <w:rFonts w:ascii="Arial" w:hAnsi="Arial" w:cs="Arial"/>
          <w:szCs w:val="22"/>
        </w:rPr>
      </w:pPr>
    </w:p>
    <w:p w:rsidR="00490FC8" w:rsidRPr="00490FC8" w:rsidRDefault="00490FC8" w:rsidP="00490FC8">
      <w:pPr>
        <w:spacing w:line="360" w:lineRule="auto"/>
        <w:jc w:val="center"/>
        <w:rPr>
          <w:rFonts w:ascii="Arial" w:hAnsi="Arial" w:cs="Arial"/>
        </w:rPr>
      </w:pPr>
      <w:r w:rsidRPr="00490FC8">
        <w:rPr>
          <w:rFonts w:ascii="Arial" w:hAnsi="Arial" w:cs="Arial"/>
        </w:rPr>
        <w:t>Curitiba, 27 de maio de 2019.</w:t>
      </w:r>
    </w:p>
    <w:p w:rsidR="00490FC8" w:rsidRDefault="00490FC8" w:rsidP="00490FC8">
      <w:pPr>
        <w:spacing w:line="360" w:lineRule="auto"/>
        <w:jc w:val="center"/>
        <w:rPr>
          <w:rFonts w:ascii="Arial" w:hAnsi="Arial" w:cs="Arial"/>
        </w:rPr>
      </w:pPr>
    </w:p>
    <w:p w:rsidR="00490FC8" w:rsidRDefault="00490FC8" w:rsidP="00490FC8">
      <w:pPr>
        <w:spacing w:line="360" w:lineRule="auto"/>
        <w:jc w:val="center"/>
        <w:rPr>
          <w:rFonts w:ascii="Arial" w:hAnsi="Arial" w:cs="Arial"/>
        </w:rPr>
      </w:pPr>
      <w:bookmarkStart w:id="0" w:name="_GoBack"/>
      <w:bookmarkEnd w:id="0"/>
    </w:p>
    <w:p w:rsidR="00490FC8" w:rsidRPr="006946A5" w:rsidRDefault="00490FC8" w:rsidP="00490FC8">
      <w:pPr>
        <w:pStyle w:val="Default"/>
        <w:jc w:val="center"/>
      </w:pPr>
      <w:r w:rsidRPr="006946A5">
        <w:t>1º Ten. QOBM Marcos Vidal da Silva Junior.</w:t>
      </w:r>
    </w:p>
    <w:p w:rsidR="00490FC8" w:rsidRPr="006946A5" w:rsidRDefault="00490FC8" w:rsidP="00490FC8">
      <w:pPr>
        <w:pStyle w:val="Default"/>
        <w:jc w:val="center"/>
      </w:pPr>
      <w:r w:rsidRPr="006946A5">
        <w:rPr>
          <w:b/>
          <w:bCs/>
        </w:rPr>
        <w:t>Chefe da Assessoria de Comunicação Social.</w:t>
      </w:r>
    </w:p>
    <w:p w:rsidR="00490FC8" w:rsidRPr="006946A5" w:rsidRDefault="00490FC8" w:rsidP="00490FC8">
      <w:pPr>
        <w:spacing w:line="360" w:lineRule="auto"/>
        <w:jc w:val="center"/>
        <w:rPr>
          <w:rFonts w:ascii="Arial" w:hAnsi="Arial" w:cs="Arial"/>
        </w:rPr>
      </w:pPr>
      <w:r w:rsidRPr="006946A5">
        <w:rPr>
          <w:rFonts w:ascii="Arial" w:hAnsi="Arial" w:cs="Arial"/>
          <w:b/>
          <w:bCs/>
        </w:rPr>
        <w:t>Coordenadoria Estadual de Defesa Civil.</w:t>
      </w:r>
    </w:p>
    <w:p w:rsidR="007F64AD" w:rsidRDefault="0025650A"/>
    <w:sectPr w:rsidR="007F64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itstream Vera Sans">
    <w:altName w:val="MS Gothic"/>
    <w:charset w:val="00"/>
    <w:family w:val="auto"/>
    <w:pitch w:val="variable"/>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E2116"/>
    <w:multiLevelType w:val="hybridMultilevel"/>
    <w:tmpl w:val="1B587A7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 w15:restartNumberingAfterBreak="0">
    <w:nsid w:val="2AAB1B56"/>
    <w:multiLevelType w:val="hybridMultilevel"/>
    <w:tmpl w:val="E8687B8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15:restartNumberingAfterBreak="0">
    <w:nsid w:val="3BC073D4"/>
    <w:multiLevelType w:val="hybridMultilevel"/>
    <w:tmpl w:val="4B2C614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 w15:restartNumberingAfterBreak="0">
    <w:nsid w:val="40610907"/>
    <w:multiLevelType w:val="hybridMultilevel"/>
    <w:tmpl w:val="13E0BC6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40C471E9"/>
    <w:multiLevelType w:val="hybridMultilevel"/>
    <w:tmpl w:val="72C4606C"/>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40D7332F"/>
    <w:multiLevelType w:val="hybridMultilevel"/>
    <w:tmpl w:val="8E0A863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4198367E"/>
    <w:multiLevelType w:val="hybridMultilevel"/>
    <w:tmpl w:val="599641B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48385B19"/>
    <w:multiLevelType w:val="hybridMultilevel"/>
    <w:tmpl w:val="116CB268"/>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4B275010"/>
    <w:multiLevelType w:val="hybridMultilevel"/>
    <w:tmpl w:val="783AAA5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5BF4719B"/>
    <w:multiLevelType w:val="hybridMultilevel"/>
    <w:tmpl w:val="2F6EF250"/>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74467BC5"/>
    <w:multiLevelType w:val="hybridMultilevel"/>
    <w:tmpl w:val="2F72882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C8"/>
    <w:rsid w:val="0025650A"/>
    <w:rsid w:val="00490FC8"/>
    <w:rsid w:val="008D5CC0"/>
    <w:rsid w:val="00FE0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4EDD"/>
  <w15:chartTrackingRefBased/>
  <w15:docId w15:val="{F05E6E30-BA74-4C57-A70B-7DEDF988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FC8"/>
    <w:pPr>
      <w:widowControl w:val="0"/>
      <w:suppressAutoHyphens/>
      <w:spacing w:after="0" w:line="240" w:lineRule="auto"/>
    </w:pPr>
    <w:rPr>
      <w:rFonts w:ascii="Times New Roman" w:eastAsia="Bitstream Vera Sans" w:hAnsi="Times New Roman" w:cs="Times New Roman"/>
      <w:kern w:val="1"/>
      <w:sz w:val="24"/>
      <w:szCs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rsid w:val="00490FC8"/>
    <w:pPr>
      <w:widowControl/>
      <w:suppressAutoHyphens w:val="0"/>
      <w:spacing w:before="100" w:beforeAutospacing="1" w:after="119"/>
    </w:pPr>
    <w:rPr>
      <w:rFonts w:eastAsia="Times New Roman"/>
      <w:kern w:val="0"/>
      <w:lang w:eastAsia="pt-BR"/>
    </w:rPr>
  </w:style>
  <w:style w:type="paragraph" w:customStyle="1" w:styleId="Default">
    <w:name w:val="Default"/>
    <w:rsid w:val="00490FC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490FC8"/>
    <w:pPr>
      <w:widowControl w:val="0"/>
      <w:suppressAutoHyphens/>
      <w:spacing w:after="0" w:line="240" w:lineRule="auto"/>
    </w:pPr>
    <w:rPr>
      <w:rFonts w:ascii="Times New Roman" w:eastAsia="Bitstream Vera Sans" w:hAnsi="Times New Roman" w:cs="Times New Roman"/>
      <w:kern w:val="1"/>
      <w:sz w:val="24"/>
      <w:szCs w:val="24"/>
      <w:lang/>
    </w:rPr>
  </w:style>
  <w:style w:type="character" w:styleId="Refdecomentrio">
    <w:name w:val="annotation reference"/>
    <w:uiPriority w:val="99"/>
    <w:semiHidden/>
    <w:unhideWhenUsed/>
    <w:rsid w:val="00490FC8"/>
    <w:rPr>
      <w:sz w:val="16"/>
      <w:szCs w:val="16"/>
    </w:rPr>
  </w:style>
  <w:style w:type="paragraph" w:styleId="Textodecomentrio">
    <w:name w:val="annotation text"/>
    <w:basedOn w:val="Normal"/>
    <w:link w:val="TextodecomentrioChar"/>
    <w:uiPriority w:val="99"/>
    <w:semiHidden/>
    <w:unhideWhenUsed/>
    <w:rsid w:val="00490FC8"/>
    <w:rPr>
      <w:sz w:val="20"/>
      <w:szCs w:val="20"/>
    </w:rPr>
  </w:style>
  <w:style w:type="character" w:customStyle="1" w:styleId="TextodecomentrioChar">
    <w:name w:val="Texto de comentário Char"/>
    <w:basedOn w:val="Fontepargpadro"/>
    <w:link w:val="Textodecomentrio"/>
    <w:uiPriority w:val="99"/>
    <w:semiHidden/>
    <w:rsid w:val="00490FC8"/>
    <w:rPr>
      <w:rFonts w:ascii="Times New Roman" w:eastAsia="Bitstream Vera Sans" w:hAnsi="Times New Roman" w:cs="Times New Roman"/>
      <w:kern w:val="1"/>
      <w:sz w:val="20"/>
      <w:szCs w:val="20"/>
      <w:lang/>
    </w:rPr>
  </w:style>
  <w:style w:type="paragraph" w:styleId="Textodebalo">
    <w:name w:val="Balloon Text"/>
    <w:basedOn w:val="Normal"/>
    <w:link w:val="TextodebaloChar"/>
    <w:uiPriority w:val="99"/>
    <w:semiHidden/>
    <w:unhideWhenUsed/>
    <w:rsid w:val="00490FC8"/>
    <w:rPr>
      <w:rFonts w:ascii="Segoe UI" w:hAnsi="Segoe UI" w:cs="Segoe UI"/>
      <w:sz w:val="18"/>
      <w:szCs w:val="18"/>
    </w:rPr>
  </w:style>
  <w:style w:type="character" w:customStyle="1" w:styleId="TextodebaloChar">
    <w:name w:val="Texto de balão Char"/>
    <w:basedOn w:val="Fontepargpadro"/>
    <w:link w:val="Textodebalo"/>
    <w:uiPriority w:val="99"/>
    <w:semiHidden/>
    <w:rsid w:val="00490FC8"/>
    <w:rPr>
      <w:rFonts w:ascii="Segoe UI" w:eastAsia="Bitstream Vera Sans" w:hAnsi="Segoe UI" w:cs="Segoe UI"/>
      <w:kern w:val="1"/>
      <w:sz w:val="18"/>
      <w:szCs w:val="18"/>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3251</Words>
  <Characters>17557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Vidal</dc:creator>
  <cp:keywords/>
  <dc:description/>
  <cp:lastModifiedBy>Marcos Vidal</cp:lastModifiedBy>
  <cp:revision>1</cp:revision>
  <cp:lastPrinted>2019-06-24T13:56:00Z</cp:lastPrinted>
  <dcterms:created xsi:type="dcterms:W3CDTF">2019-06-24T13:54:00Z</dcterms:created>
  <dcterms:modified xsi:type="dcterms:W3CDTF">2019-06-24T15:28:00Z</dcterms:modified>
</cp:coreProperties>
</file>