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56" w:rsidRDefault="00EF4256">
      <w:pPr>
        <w:spacing w:after="0" w:line="240" w:lineRule="auto"/>
        <w:jc w:val="center"/>
        <w:rPr>
          <w:rFonts w:ascii="Times New Roman" w:hAnsi="Times New Roman"/>
          <w:b/>
          <w:sz w:val="24"/>
          <w:szCs w:val="24"/>
        </w:rPr>
      </w:pPr>
      <w:r>
        <w:rPr>
          <w:rFonts w:ascii="Times New Roman" w:hAnsi="Times New Roman"/>
          <w:b/>
          <w:sz w:val="24"/>
          <w:szCs w:val="24"/>
        </w:rPr>
        <w:t xml:space="preserve">PROGRAMA DE “REDUÇÃO DE RISCOS DE DESASTRES NATURAIS </w:t>
      </w:r>
    </w:p>
    <w:p w:rsidR="00EF4256" w:rsidRDefault="00EF4256">
      <w:pPr>
        <w:spacing w:after="0" w:line="240" w:lineRule="auto"/>
        <w:jc w:val="center"/>
        <w:rPr>
          <w:rFonts w:ascii="Times New Roman" w:hAnsi="Times New Roman"/>
          <w:b/>
          <w:sz w:val="24"/>
          <w:szCs w:val="24"/>
        </w:rPr>
      </w:pPr>
      <w:r>
        <w:rPr>
          <w:rFonts w:ascii="Times New Roman" w:hAnsi="Times New Roman"/>
          <w:b/>
          <w:sz w:val="24"/>
          <w:szCs w:val="24"/>
        </w:rPr>
        <w:t xml:space="preserve">EM ÁREAS URBANAS NOS MUNICÍPIOS PARANAENSES </w:t>
      </w:r>
      <w:r>
        <w:rPr>
          <w:rFonts w:ascii="Times New Roman" w:hAnsi="Times New Roman"/>
          <w:b/>
          <w:color w:val="FF0000"/>
          <w:sz w:val="24"/>
          <w:szCs w:val="24"/>
        </w:rPr>
        <w:t>PRIORITÁRIOS</w:t>
      </w:r>
      <w:r>
        <w:rPr>
          <w:rFonts w:ascii="Times New Roman" w:hAnsi="Times New Roman"/>
          <w:b/>
          <w:sz w:val="24"/>
          <w:szCs w:val="24"/>
        </w:rPr>
        <w:t>”</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OBJETIVOS E DESCRIÇÃO DO PROGRAMA</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851" w:hanging="567"/>
        <w:jc w:val="both"/>
        <w:rPr>
          <w:rFonts w:ascii="Times New Roman" w:hAnsi="Times New Roman"/>
          <w:b/>
          <w:sz w:val="24"/>
          <w:szCs w:val="24"/>
        </w:rPr>
      </w:pPr>
      <w:r>
        <w:rPr>
          <w:rFonts w:ascii="Times New Roman" w:hAnsi="Times New Roman"/>
          <w:b/>
          <w:sz w:val="24"/>
          <w:szCs w:val="24"/>
        </w:rPr>
        <w:t>Objetivos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Reduzir o grau de vulnerabilidade da população urbana a desastres naturais</w:t>
      </w:r>
      <w:r>
        <w:rPr>
          <w:rStyle w:val="FootnoteReference"/>
          <w:rFonts w:ascii="Times New Roman" w:hAnsi="Times New Roman"/>
          <w:sz w:val="24"/>
          <w:szCs w:val="24"/>
        </w:rPr>
        <w:footnoteReference w:id="1"/>
      </w:r>
      <w:r>
        <w:rPr>
          <w:rFonts w:ascii="Times New Roman" w:hAnsi="Times New Roman"/>
          <w:sz w:val="24"/>
          <w:szCs w:val="24"/>
        </w:rPr>
        <w:t>, de origem hidrológica, geológica e meteorológica, e aumentar o grau de resiliência das cidades.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Para atingir estes objetivos, o Programa financiará:</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o fortalecimento institucional dos municípios com o objetivo de reduzir os riscos de desastres naturais, por meio da ampliação e reforço das ações de: i) prevenção, ii) mitigação, e iii) preparação frente a eventos adversos da natureza;</w:t>
      </w:r>
    </w:p>
    <w:p w:rsidR="00EF4256" w:rsidRDefault="00EF4256">
      <w:pPr>
        <w:pStyle w:val="ListParagraph"/>
        <w:spacing w:after="0" w:line="240" w:lineRule="auto"/>
        <w:ind w:left="0"/>
        <w:jc w:val="both"/>
        <w:rPr>
          <w:rFonts w:ascii="Times New Roman" w:hAnsi="Times New Roman"/>
          <w:sz w:val="24"/>
          <w:szCs w:val="24"/>
        </w:rPr>
      </w:pPr>
    </w:p>
    <w:p w:rsidR="00EF4256" w:rsidRDefault="00EF4256">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os investimentos nas áreas urbanas em infraestruturas públicas de: i) prevenção, ii) mitigação, iii) preparação, e iv) recuperação, visando sobretudo minimizar as vulnerabilidades existentes no meio físico, a capacidade de assistência às populações afetadas e o reestabelecimento de condições de normalidade frente a eventos adversos da natureza.</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851" w:hanging="567"/>
        <w:jc w:val="both"/>
        <w:rPr>
          <w:rFonts w:ascii="Times New Roman" w:hAnsi="Times New Roman"/>
          <w:b/>
          <w:sz w:val="24"/>
          <w:szCs w:val="24"/>
        </w:rPr>
      </w:pPr>
      <w:r>
        <w:rPr>
          <w:rFonts w:ascii="Times New Roman" w:hAnsi="Times New Roman"/>
          <w:b/>
          <w:sz w:val="24"/>
          <w:szCs w:val="24"/>
        </w:rPr>
        <w:t>Descrição</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Os componentes integrantes do Programa são:</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2"/>
          <w:numId w:val="1"/>
        </w:numPr>
        <w:spacing w:after="0" w:line="240" w:lineRule="auto"/>
        <w:jc w:val="both"/>
        <w:rPr>
          <w:rFonts w:ascii="Times New Roman" w:hAnsi="Times New Roman"/>
          <w:b/>
          <w:sz w:val="24"/>
          <w:szCs w:val="24"/>
        </w:rPr>
      </w:pPr>
      <w:r>
        <w:rPr>
          <w:rFonts w:ascii="Times New Roman" w:hAnsi="Times New Roman"/>
          <w:b/>
          <w:sz w:val="24"/>
          <w:szCs w:val="24"/>
        </w:rPr>
        <w:t>Fortalecimento institucional da gestão de riscos de desastres naturais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Consiste no financiamento de projetos que visam elevar a capacidade de planejamento e gestão da área de Proteção e Defesa Civil por meio de elaboração ou atualização de: i) Carta geotécnica de aptidão à urbanização; ii) Cadastro e mapeamento de áreas de risco de desastres naturais; iii) Sistema de fiscalização de áreas inaptas à ocupação; iv) Sistema municipal de informações, fiscalização, monitoramento, alerta e alarme das áreas de risco e de atenção; v) Plano municipal de Proteção e Defesa Civil; vi) Plano municipal de implantação de obras e serviços para redução de risco de desastres naturais; e, vii) Plano de relocação de famílias de áreas vulneráveis a desastres.</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2"/>
          <w:numId w:val="1"/>
        </w:numPr>
        <w:spacing w:after="0" w:line="240" w:lineRule="auto"/>
        <w:jc w:val="both"/>
        <w:rPr>
          <w:rFonts w:ascii="Times New Roman" w:hAnsi="Times New Roman"/>
          <w:b/>
          <w:sz w:val="24"/>
          <w:szCs w:val="24"/>
        </w:rPr>
      </w:pPr>
      <w:r>
        <w:rPr>
          <w:rFonts w:ascii="Times New Roman" w:hAnsi="Times New Roman"/>
          <w:b/>
          <w:sz w:val="24"/>
          <w:szCs w:val="24"/>
        </w:rPr>
        <w:t>Infraestrutura de prevenção, mitigação, alerta, preparação e recuperação</w:t>
      </w:r>
    </w:p>
    <w:p w:rsidR="00EF4256" w:rsidRDefault="00EF4256">
      <w:pPr>
        <w:spacing w:after="0" w:line="240" w:lineRule="auto"/>
        <w:jc w:val="both"/>
        <w:rPr>
          <w:rFonts w:ascii="Times New Roman" w:hAnsi="Times New Roman"/>
          <w:sz w:val="24"/>
          <w:szCs w:val="24"/>
        </w:rPr>
      </w:pPr>
    </w:p>
    <w:p w:rsidR="00EF4256" w:rsidRDefault="00EF4256">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rPr>
        <w:t>Consiste no financiamento de projetos que visam minimizar ou mitigar as vulnerabilidades do meio físico urbano, criar melhores condições de assistência às populações afetadas e recuperar as condições de normalidade perante a ocorrência de eventos naturais adversos, por meio de: i) Contenção de alagamento e inundação; ii) Contenção de deslizamento e erosão; iii) Sistema de monitoramento, alerta e alarme em área urbana vulnerável; iv) Adequação de edificação pública para abrigo da população afetada; e, v) Reconstrução de infraestrutura pública urbana.</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JUSTIFICATIVA</w:t>
      </w:r>
    </w:p>
    <w:p w:rsidR="00EF4256" w:rsidRDefault="00EF4256">
      <w:pPr>
        <w:spacing w:after="0" w:line="240" w:lineRule="auto"/>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A recorrência de desastres naturais em áreas urbanas no território paranaense tem exigido de forma crescente a mobilização da Coordenadoria Estadual de Proteção e Defesa Civil – CEPDEC/PR assim como das Coordenadorias Municipais – COMDECs na prestação de ações de resposta em socorro e assistência às populações afetadas, além do dispêndio de significativos volumes de recursos na recuperação dos serviços e infraestruturas buscando o mais pronto possível reestabelecimento das condições anteriores de normalidade.</w:t>
      </w:r>
    </w:p>
    <w:p w:rsidR="00EF4256" w:rsidRDefault="00EF4256">
      <w:pPr>
        <w:spacing w:after="0" w:line="240" w:lineRule="auto"/>
        <w:jc w:val="both"/>
        <w:rPr>
          <w:rFonts w:ascii="Times New Roman" w:hAnsi="Times New Roman"/>
          <w:color w:val="1F497D"/>
          <w:sz w:val="24"/>
          <w:szCs w:val="24"/>
        </w:rPr>
      </w:pPr>
    </w:p>
    <w:p w:rsidR="00EF4256" w:rsidRDefault="00EF4256">
      <w:pPr>
        <w:autoSpaceDE w:val="0"/>
        <w:autoSpaceDN w:val="0"/>
        <w:adjustRightInd w:val="0"/>
        <w:spacing w:after="0" w:line="240" w:lineRule="auto"/>
        <w:ind w:firstLine="426"/>
        <w:jc w:val="both"/>
        <w:rPr>
          <w:rFonts w:ascii="Times New Roman" w:hAnsi="Times New Roman"/>
          <w:color w:val="E36C0A"/>
          <w:sz w:val="24"/>
          <w:szCs w:val="24"/>
        </w:rPr>
      </w:pPr>
      <w:r>
        <w:rPr>
          <w:rFonts w:ascii="Times New Roman" w:hAnsi="Times New Roman"/>
          <w:color w:val="E36C0A"/>
          <w:sz w:val="24"/>
          <w:szCs w:val="24"/>
        </w:rPr>
        <w:t>Segundo a CEPDEC/PR, de 1980 até 14 de abril de 2011 foram registrados 4.550 desastres naturais, sendo que deste total 30% referem-se a vendavais ou tempestades, 14% a enchentes ou inundações graduais, 8% a enxurradas ou inundações bruscas e 2% a escorregamentos ou deslizamentos.</w:t>
      </w:r>
    </w:p>
    <w:p w:rsidR="00EF4256" w:rsidRDefault="00EF4256">
      <w:pPr>
        <w:autoSpaceDE w:val="0"/>
        <w:autoSpaceDN w:val="0"/>
        <w:adjustRightInd w:val="0"/>
        <w:spacing w:after="0" w:line="240" w:lineRule="auto"/>
        <w:jc w:val="both"/>
        <w:rPr>
          <w:rFonts w:ascii="Times New Roman" w:hAnsi="Times New Roman"/>
          <w:color w:val="1F497D"/>
          <w:sz w:val="24"/>
          <w:szCs w:val="24"/>
        </w:rPr>
      </w:pPr>
    </w:p>
    <w:p w:rsidR="00EF4256" w:rsidRDefault="00EF4256">
      <w:pPr>
        <w:spacing w:after="0" w:line="240" w:lineRule="auto"/>
        <w:ind w:firstLine="426"/>
        <w:jc w:val="both"/>
        <w:rPr>
          <w:rFonts w:ascii="Times New Roman" w:hAnsi="Times New Roman"/>
          <w:color w:val="00B050"/>
          <w:sz w:val="24"/>
          <w:szCs w:val="24"/>
        </w:rPr>
      </w:pPr>
      <w:r>
        <w:rPr>
          <w:rFonts w:ascii="Times New Roman" w:hAnsi="Times New Roman"/>
          <w:color w:val="00B050"/>
          <w:sz w:val="24"/>
          <w:szCs w:val="24"/>
        </w:rPr>
        <w:t>O estado do Paraná situa-se em uma área geográfica caracterizada pela transição entre os climas quentes de baixas latitudes e climas mesotérmicos de latitudes médias. A variabilidade latitudinal e de relevo, a maritimidade/continentalidade e a atuação de variados sistemas tropicais e extratropicais de latitudes médias contribuem para a ocorrência de grandes contrastes de regimes de temperatura e precipitação. Os principais sistemas contribuidores para a distribuição de precipitação na região, e que muitas vezes estão associados a eventos adversos, são as frentes frias (SF), os ciclones extratropicais, os cavados, o posicionamento e intensidade do Jato Subtropical da América do Sul, os Sistemas Convectivos de Mesoescala (SCM), a Zona de Convergência do Atlântico Sul (ZCAS), a convecção tropical e a circulação marítima. Contudo, não são apenas as instabilidades que causam desastres no Paraná. Condições de estabilidade, comumente associadas aos bloqueios atmosféricos, causam estiagens prolongadas e prejuízos consideráveis. Anomalias de precipitação podem ainda estar associadas a eventos de escala global, tais como o fenômeno El Niño-Oscilação Sul. A pluviosidade média anual varia entre 1.250 e 2.000mm, com exceção do litoral, onde supera 2.000mm. No que tange ao regime pluviométrico, a região conta com chuvas bem distribuídas ao longo do ano. O período mais crítico ocorre nos meses de dezembro a março, quando o aumento das temperaturas sobre o continente gera a maior possibilidade de chuvas fortes, acompanhadas de trovoadas, rajadas de vento e granizo. O regime hidrológico é menos marcado que em outras regiões do país, uma vez que as chuvas se distribuem mais igualmente ao longo do ano. Isso implica que os desastres também se distribuam ao longo do ano, com uma sazonalidade mais discreta do que em outras regiões do Brasil. Vale mencionar ainda que a região onde se insere o Paraná é aquela em que, em geral, são observados os maiores números de registros de desastres hidrológicos como um todo no país, especialmente aqueles associados a chuvas intensas e escoamentos de alta velocidade, ou seja, alagamentos e enxurradas. A geologia do território estadual compreende um domínio de terrenos de idade extremamente abrangente, caracterizando-se ainda pela diversidade de tipos litológicos. As rochas de natureza metamórfica e sedimentar são comuns no estado. Poucas informações disponíveis na literatura tratam da caracterização tipológica dessas rochas frente aos processos de movimentos de massa. No entanto, os domínios geomorfológicos a elas associados mantêm relevante influência aos movimentos de massa existentes.</w:t>
      </w:r>
    </w:p>
    <w:p w:rsidR="00EF4256" w:rsidRDefault="00EF4256">
      <w:pPr>
        <w:spacing w:after="0" w:line="240" w:lineRule="auto"/>
        <w:jc w:val="both"/>
        <w:rPr>
          <w:rFonts w:ascii="Times New Roman" w:hAnsi="Times New Roman"/>
          <w:sz w:val="24"/>
          <w:szCs w:val="24"/>
        </w:rPr>
      </w:pPr>
    </w:p>
    <w:p w:rsidR="00EF4256" w:rsidRDefault="00EF4256">
      <w:pPr>
        <w:autoSpaceDE w:val="0"/>
        <w:autoSpaceDN w:val="0"/>
        <w:adjustRightInd w:val="0"/>
        <w:spacing w:after="0" w:line="240" w:lineRule="auto"/>
        <w:ind w:firstLine="426"/>
        <w:jc w:val="both"/>
        <w:rPr>
          <w:rFonts w:ascii="Times New Roman" w:hAnsi="Times New Roman"/>
          <w:color w:val="365F91"/>
          <w:sz w:val="24"/>
          <w:szCs w:val="24"/>
        </w:rPr>
      </w:pPr>
      <w:r>
        <w:rPr>
          <w:rFonts w:ascii="Times New Roman" w:hAnsi="Times New Roman"/>
          <w:color w:val="365F91"/>
          <w:sz w:val="24"/>
          <w:szCs w:val="24"/>
        </w:rPr>
        <w:t>O intenso e desordenado processo de concentração da população nas áreas urbanas, observado no Paraná nas últimas décadas, tem criado acentuado grau de vulnerabilidade nesses territórios frente à ocorrência dos eventos naturais adversos, mais especificamente do tipo meteorológico (ventos costeiros</w:t>
      </w:r>
      <w:r>
        <w:rPr>
          <w:rStyle w:val="FootnoteReference"/>
          <w:rFonts w:ascii="Times New Roman" w:hAnsi="Times New Roman"/>
          <w:color w:val="365F91"/>
          <w:sz w:val="24"/>
          <w:szCs w:val="24"/>
        </w:rPr>
        <w:footnoteReference w:id="2"/>
      </w:r>
      <w:r>
        <w:rPr>
          <w:rFonts w:ascii="Times New Roman" w:hAnsi="Times New Roman"/>
          <w:color w:val="365F91"/>
          <w:sz w:val="24"/>
          <w:szCs w:val="24"/>
        </w:rPr>
        <w:t>, ressacas</w:t>
      </w:r>
      <w:r>
        <w:rPr>
          <w:rStyle w:val="FootnoteReference"/>
          <w:rFonts w:ascii="Times New Roman" w:hAnsi="Times New Roman"/>
          <w:color w:val="365F91"/>
          <w:sz w:val="24"/>
          <w:szCs w:val="24"/>
        </w:rPr>
        <w:footnoteReference w:id="3"/>
      </w:r>
      <w:r>
        <w:rPr>
          <w:rFonts w:ascii="Times New Roman" w:hAnsi="Times New Roman"/>
          <w:color w:val="365F91"/>
          <w:sz w:val="24"/>
          <w:szCs w:val="24"/>
        </w:rPr>
        <w:t>, frentes frias/zona de convergência</w:t>
      </w:r>
      <w:r>
        <w:rPr>
          <w:rStyle w:val="FootnoteReference"/>
          <w:rFonts w:ascii="Times New Roman" w:hAnsi="Times New Roman"/>
          <w:color w:val="365F91"/>
          <w:sz w:val="24"/>
          <w:szCs w:val="24"/>
        </w:rPr>
        <w:footnoteReference w:id="4"/>
      </w:r>
      <w:r>
        <w:rPr>
          <w:rFonts w:ascii="Times New Roman" w:hAnsi="Times New Roman"/>
          <w:color w:val="365F91"/>
          <w:sz w:val="24"/>
          <w:szCs w:val="24"/>
        </w:rPr>
        <w:t>, tornados</w:t>
      </w:r>
      <w:r>
        <w:rPr>
          <w:rStyle w:val="FootnoteReference"/>
          <w:rFonts w:ascii="Times New Roman" w:hAnsi="Times New Roman"/>
          <w:color w:val="365F91"/>
          <w:sz w:val="24"/>
          <w:szCs w:val="24"/>
        </w:rPr>
        <w:footnoteReference w:id="5"/>
      </w:r>
      <w:r>
        <w:rPr>
          <w:rFonts w:ascii="Times New Roman" w:hAnsi="Times New Roman"/>
          <w:color w:val="365F91"/>
          <w:sz w:val="24"/>
          <w:szCs w:val="24"/>
        </w:rPr>
        <w:t>, tempestades de raios</w:t>
      </w:r>
      <w:r>
        <w:rPr>
          <w:rStyle w:val="FootnoteReference"/>
          <w:rFonts w:ascii="Times New Roman" w:hAnsi="Times New Roman"/>
          <w:color w:val="365F91"/>
          <w:sz w:val="24"/>
          <w:szCs w:val="24"/>
        </w:rPr>
        <w:footnoteReference w:id="6"/>
      </w:r>
      <w:r>
        <w:rPr>
          <w:rFonts w:ascii="Times New Roman" w:hAnsi="Times New Roman"/>
          <w:color w:val="365F91"/>
          <w:sz w:val="24"/>
          <w:szCs w:val="24"/>
        </w:rPr>
        <w:t>, granizo</w:t>
      </w:r>
      <w:r>
        <w:rPr>
          <w:rStyle w:val="FootnoteReference"/>
          <w:rFonts w:ascii="Times New Roman" w:hAnsi="Times New Roman"/>
          <w:color w:val="365F91"/>
          <w:sz w:val="24"/>
          <w:szCs w:val="24"/>
        </w:rPr>
        <w:footnoteReference w:id="7"/>
      </w:r>
      <w:r>
        <w:rPr>
          <w:rFonts w:ascii="Times New Roman" w:hAnsi="Times New Roman"/>
          <w:color w:val="365F91"/>
          <w:sz w:val="24"/>
          <w:szCs w:val="24"/>
        </w:rPr>
        <w:t>, chuvas intensas</w:t>
      </w:r>
      <w:r>
        <w:rPr>
          <w:rStyle w:val="FootnoteReference"/>
          <w:rFonts w:ascii="Times New Roman" w:hAnsi="Times New Roman"/>
          <w:color w:val="365F91"/>
          <w:sz w:val="24"/>
          <w:szCs w:val="24"/>
        </w:rPr>
        <w:footnoteReference w:id="8"/>
      </w:r>
      <w:r>
        <w:rPr>
          <w:rFonts w:ascii="Times New Roman" w:hAnsi="Times New Roman"/>
          <w:color w:val="365F91"/>
          <w:sz w:val="24"/>
          <w:szCs w:val="24"/>
        </w:rPr>
        <w:t>, vendaval</w:t>
      </w:r>
      <w:r>
        <w:rPr>
          <w:rStyle w:val="FootnoteReference"/>
          <w:rFonts w:ascii="Times New Roman" w:hAnsi="Times New Roman"/>
          <w:color w:val="365F91"/>
          <w:sz w:val="24"/>
          <w:szCs w:val="24"/>
        </w:rPr>
        <w:footnoteReference w:id="9"/>
      </w:r>
      <w:r>
        <w:rPr>
          <w:rFonts w:ascii="Times New Roman" w:hAnsi="Times New Roman"/>
          <w:color w:val="365F91"/>
          <w:sz w:val="24"/>
          <w:szCs w:val="24"/>
        </w:rPr>
        <w:t>), hidrológico (inundações</w:t>
      </w:r>
      <w:r>
        <w:rPr>
          <w:rStyle w:val="FootnoteReference"/>
          <w:rFonts w:ascii="Times New Roman" w:hAnsi="Times New Roman"/>
          <w:color w:val="365F91"/>
          <w:sz w:val="24"/>
          <w:szCs w:val="24"/>
        </w:rPr>
        <w:footnoteReference w:id="10"/>
      </w:r>
      <w:r>
        <w:rPr>
          <w:rFonts w:ascii="Times New Roman" w:hAnsi="Times New Roman"/>
          <w:color w:val="365F91"/>
          <w:sz w:val="24"/>
          <w:szCs w:val="24"/>
        </w:rPr>
        <w:t>, enxurradas</w:t>
      </w:r>
      <w:r>
        <w:rPr>
          <w:rStyle w:val="FootnoteReference"/>
          <w:rFonts w:ascii="Times New Roman" w:hAnsi="Times New Roman"/>
          <w:color w:val="365F91"/>
          <w:sz w:val="24"/>
          <w:szCs w:val="24"/>
        </w:rPr>
        <w:footnoteReference w:id="11"/>
      </w:r>
      <w:r>
        <w:rPr>
          <w:rFonts w:ascii="Times New Roman" w:hAnsi="Times New Roman"/>
          <w:color w:val="365F91"/>
          <w:sz w:val="24"/>
          <w:szCs w:val="24"/>
        </w:rPr>
        <w:t xml:space="preserve"> e alagamentos</w:t>
      </w:r>
      <w:r>
        <w:rPr>
          <w:rStyle w:val="FootnoteReference"/>
          <w:rFonts w:ascii="Times New Roman" w:hAnsi="Times New Roman"/>
          <w:color w:val="365F91"/>
          <w:sz w:val="24"/>
          <w:szCs w:val="24"/>
        </w:rPr>
        <w:footnoteReference w:id="12"/>
      </w:r>
      <w:r>
        <w:rPr>
          <w:rFonts w:ascii="Times New Roman" w:hAnsi="Times New Roman"/>
          <w:color w:val="365F91"/>
          <w:sz w:val="24"/>
          <w:szCs w:val="24"/>
        </w:rPr>
        <w:t>) e geológico (movimentos de massa – corridas de massa</w:t>
      </w:r>
      <w:r>
        <w:rPr>
          <w:rStyle w:val="FootnoteReference"/>
          <w:rFonts w:ascii="Times New Roman" w:hAnsi="Times New Roman"/>
          <w:color w:val="365F91"/>
          <w:sz w:val="24"/>
          <w:szCs w:val="24"/>
        </w:rPr>
        <w:footnoteReference w:id="13"/>
      </w:r>
      <w:r>
        <w:rPr>
          <w:rFonts w:ascii="Times New Roman" w:hAnsi="Times New Roman"/>
          <w:color w:val="365F91"/>
          <w:sz w:val="24"/>
          <w:szCs w:val="24"/>
        </w:rPr>
        <w:t xml:space="preserve"> e erosão</w:t>
      </w:r>
      <w:r>
        <w:rPr>
          <w:rStyle w:val="FootnoteReference"/>
          <w:rFonts w:ascii="Times New Roman" w:hAnsi="Times New Roman"/>
          <w:color w:val="365F91"/>
          <w:sz w:val="24"/>
          <w:szCs w:val="24"/>
        </w:rPr>
        <w:footnoteReference w:id="14"/>
      </w:r>
      <w:r>
        <w:rPr>
          <w:rFonts w:ascii="Times New Roman" w:hAnsi="Times New Roman"/>
          <w:color w:val="365F91"/>
          <w:sz w:val="24"/>
          <w:szCs w:val="24"/>
        </w:rPr>
        <w:t>).</w:t>
      </w:r>
    </w:p>
    <w:p w:rsidR="00EF4256" w:rsidRDefault="00EF4256">
      <w:pPr>
        <w:autoSpaceDE w:val="0"/>
        <w:autoSpaceDN w:val="0"/>
        <w:adjustRightInd w:val="0"/>
        <w:spacing w:after="0" w:line="240" w:lineRule="auto"/>
        <w:jc w:val="both"/>
        <w:rPr>
          <w:rFonts w:ascii="Times New Roman" w:hAnsi="Times New Roman"/>
          <w:color w:val="1F497D"/>
          <w:sz w:val="24"/>
          <w:szCs w:val="24"/>
        </w:rPr>
      </w:pPr>
    </w:p>
    <w:p w:rsidR="00EF4256" w:rsidRDefault="00EF4256">
      <w:pPr>
        <w:autoSpaceDE w:val="0"/>
        <w:autoSpaceDN w:val="0"/>
        <w:adjustRightInd w:val="0"/>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A ocupação indevida de áreas de preservação e fragilidade ambiental (margens de rios e encostas) ou inadequadas do ponto de vista hidrológico ou geológico (várzeas e áreas de erosão), a precariedade das soluções construtivas ou, ainda, a ausência ou mal dimensionamento de infraestrutura básica urbana (principalmente de sistemas de macro e microdrenagem) têm criado elevados riscos de desastres com significativos danos humanos e materiais e vultosos prejuízos socioeconômicos.</w:t>
      </w:r>
    </w:p>
    <w:p w:rsidR="00EF4256" w:rsidRDefault="00EF4256">
      <w:pPr>
        <w:autoSpaceDE w:val="0"/>
        <w:autoSpaceDN w:val="0"/>
        <w:adjustRightInd w:val="0"/>
        <w:spacing w:after="0" w:line="240" w:lineRule="auto"/>
        <w:jc w:val="both"/>
        <w:rPr>
          <w:rFonts w:ascii="Times New Roman" w:hAnsi="Times New Roman"/>
          <w:color w:val="1F497D"/>
          <w:sz w:val="24"/>
          <w:szCs w:val="24"/>
        </w:rPr>
      </w:pPr>
    </w:p>
    <w:p w:rsidR="00EF4256" w:rsidRDefault="00EF4256">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Os municípios mais críticos fazem parte das grandes aglomerações urbanas do Estado: Curitiba, Ponta Grossa, São José dos Pinhais, Guarapuava, Londrina, Maringá, Cascavel e Foz do Iguaçu, incluindo-se também a região litorânea.</w:t>
      </w:r>
    </w:p>
    <w:p w:rsidR="00EF4256" w:rsidRDefault="00EF4256">
      <w:pPr>
        <w:spacing w:after="0" w:line="240" w:lineRule="auto"/>
        <w:ind w:firstLine="426"/>
        <w:jc w:val="both"/>
        <w:rPr>
          <w:rFonts w:ascii="Times New Roman" w:hAnsi="Times New Roman"/>
          <w:color w:val="1F497D"/>
          <w:sz w:val="24"/>
          <w:szCs w:val="24"/>
        </w:rPr>
      </w:pPr>
    </w:p>
    <w:p w:rsidR="00EF4256" w:rsidRDefault="00EF4256">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 xml:space="preserve">Os municípios com maiores ocorrências de vendavais influenciam significativamente os números totais de ocorrências, com exceção do município de São José dos Pinhais e região litorânea. As ocorrências de enchentes apresentam maiores incidência nos municípios de União da Vitória, São Mateus do Sul e Rio Negro, na região sudeste, e nos municípios de Querência do Norte, Porto Rico, São Pedro do Paraná e Marilena, no noroeste, às margens do rio Paraná. Por outro lado, os municípios que mais registraram enxurradas encontram-se na Região Metropolitana de Curitiba (RMC), como Almirante Tamandaré (13 ocorrências), Colombo (11), São José dos Pinhais (11) e Curitiba (10). Na região do litoral, o município de Morretes apresenta as maiores ocorrências com 9 registros. Apesar de os últimos registros de escorregamentos terem acontecido com intensidades catastróficas na região litorânea do Estado, no município de Morretes, a maior frequência desse tipo de desastre tem apresentado uma série histórica bastante concentrada na RMC, principalmente nos municípios de Almirante Tamandaré (9) e Rio Branco do Sul (22). </w:t>
      </w:r>
      <w:r>
        <w:rPr>
          <w:rFonts w:ascii="Times New Roman" w:hAnsi="Times New Roman"/>
          <w:color w:val="FF0000"/>
          <w:sz w:val="24"/>
          <w:szCs w:val="24"/>
        </w:rPr>
        <w:t>Sudoeste</w:t>
      </w:r>
    </w:p>
    <w:p w:rsidR="00EF4256" w:rsidRDefault="00EF4256">
      <w:pPr>
        <w:spacing w:after="0" w:line="240" w:lineRule="auto"/>
        <w:jc w:val="both"/>
        <w:rPr>
          <w:rFonts w:ascii="Times New Roman" w:hAnsi="Times New Roman"/>
          <w:color w:val="1F497D"/>
          <w:sz w:val="24"/>
          <w:szCs w:val="24"/>
        </w:rPr>
      </w:pPr>
    </w:p>
    <w:p w:rsidR="00EF4256" w:rsidRDefault="00EF4256">
      <w:pPr>
        <w:spacing w:after="0" w:line="240" w:lineRule="auto"/>
        <w:ind w:firstLine="426"/>
        <w:jc w:val="both"/>
        <w:rPr>
          <w:rFonts w:ascii="Times New Roman" w:hAnsi="Times New Roman"/>
          <w:color w:val="FF0000"/>
          <w:sz w:val="24"/>
          <w:szCs w:val="24"/>
        </w:rPr>
      </w:pPr>
      <w:r>
        <w:rPr>
          <w:rFonts w:ascii="Times New Roman" w:hAnsi="Times New Roman"/>
          <w:color w:val="FF0000"/>
          <w:sz w:val="24"/>
          <w:szCs w:val="24"/>
        </w:rPr>
        <w:t xml:space="preserve">As ocorrências totais de desastres por município apresentaram grande similaridade com a significativa presença de assentamentos precários, sugerindo que a vulnerabilidade socioeconômica relacionada a estes assentamentos está diretamente relacionada à vulnerabilidade física e ambiental. Outro fator intimamente relacionado aos riscos de desastres ambientais refere-se ao desrespeito à legislação ambiental, principalmente no tocante às questões que envolvem Áreas de Preservação Permanente (APPs) e destinação de lixo. Muitos assentamentos precários tiveram origem em invasões sobre APPs como, por exemplo, nas áreas que deveriam ser destinadas às matas ciliares com o objetivo de proteger as margens de rios. </w:t>
      </w:r>
    </w:p>
    <w:p w:rsidR="00EF4256" w:rsidRDefault="00EF4256">
      <w:pPr>
        <w:spacing w:after="0" w:line="240" w:lineRule="auto"/>
        <w:jc w:val="both"/>
        <w:rPr>
          <w:rFonts w:ascii="Times New Roman" w:hAnsi="Times New Roman"/>
          <w:color w:val="1F497D"/>
          <w:sz w:val="24"/>
          <w:szCs w:val="24"/>
        </w:rPr>
      </w:pPr>
    </w:p>
    <w:p w:rsidR="00EF4256" w:rsidRDefault="00EF4256">
      <w:pPr>
        <w:spacing w:after="0" w:line="240" w:lineRule="auto"/>
        <w:ind w:firstLine="426"/>
        <w:jc w:val="both"/>
        <w:rPr>
          <w:rFonts w:ascii="Times New Roman" w:hAnsi="Times New Roman"/>
          <w:color w:val="FF0000"/>
          <w:sz w:val="24"/>
          <w:szCs w:val="24"/>
        </w:rPr>
      </w:pPr>
      <w:r>
        <w:rPr>
          <w:rFonts w:ascii="Times New Roman" w:hAnsi="Times New Roman"/>
          <w:color w:val="FF0000"/>
          <w:sz w:val="24"/>
          <w:szCs w:val="24"/>
        </w:rPr>
        <w:t>Em estudo sobre a vulnerabilidade socioambiental no sul do Brasil, Ultramari e Hummell (2010) analisaram dados de ocorrências de acidentes naturais e valores de Índice de Desenvolvimento Humano por município (IDHm), concluindo que em áreas com fragilidade física e ambiental também coexistem sociedades com maior vulnerabilidade socioeconômica. Os autores também verificaram a inexistência de planos e políticas entre os estados do sul do Brasil relativos à prevenção de desastres, inclusive sobre fenômenos recorrentes.</w:t>
      </w:r>
    </w:p>
    <w:p w:rsidR="00EF4256" w:rsidRDefault="00EF4256">
      <w:pPr>
        <w:spacing w:after="0" w:line="240" w:lineRule="auto"/>
        <w:jc w:val="both"/>
        <w:rPr>
          <w:rFonts w:ascii="Times New Roman" w:hAnsi="Times New Roman"/>
          <w:color w:val="1F497D"/>
          <w:sz w:val="24"/>
          <w:szCs w:val="24"/>
        </w:rPr>
      </w:pPr>
    </w:p>
    <w:p w:rsidR="00EF4256" w:rsidRDefault="00EF4256">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A Política Nacional de Defesa Civil (PNDC), consubstanciada na Lei federal nº 12.608/2012, prioriza as ações preventivas dentre as demais como fundamentais para a real minimização dos riscos de desastre. Seu escopo pode abranger a:</w:t>
      </w:r>
    </w:p>
    <w:p w:rsidR="00EF4256" w:rsidRDefault="00EF4256">
      <w:pPr>
        <w:spacing w:after="0" w:line="240" w:lineRule="auto"/>
        <w:jc w:val="both"/>
        <w:rPr>
          <w:rFonts w:ascii="Times New Roman" w:hAnsi="Times New Roman"/>
          <w:color w:val="1F497D"/>
          <w:sz w:val="24"/>
          <w:szCs w:val="24"/>
        </w:rPr>
      </w:pP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incorporação da redução do risco de desastre e as ações de proteção e defesa civil entre os elementos da gestão territorial e do planejamento das políticas setoriais;</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estimular o desenvolvimento de cidades resilientes e os processos sustentáveis de urbanização;</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mover a identificação e avaliação das ameaças, suscetibilidades e vulnerabilidades a desastres, de modo a evitar ou reduzir sua ocorrência;</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monitorar os eventos meteorológicos, hidrológicos, geológicos, biológicos, nucleares, químicos e outros potencialmente causadores de desastres;</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produzir alertas antecipados sobre a possibilidade de ocorrência de desastres naturais;</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estimular o ordenamento da ocupação do solo urbano e rural, tendo em vista sua conservação e a proteção da vegetação nativa, dos recursos hídricos e da vida humana;</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combater a ocupação de áreas ambientalmente vulneráveis e de risco e promover a realocação da população residente nessas áreas;</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estimular iniciativas que resultem na destinação de moradia em local seguro;</w:t>
      </w:r>
    </w:p>
    <w:p w:rsidR="00EF4256" w:rsidRDefault="00EF4256">
      <w:pPr>
        <w:pStyle w:val="ListParagraph"/>
        <w:numPr>
          <w:ilvl w:val="0"/>
          <w:numId w:val="3"/>
        </w:numPr>
        <w:spacing w:after="0" w:line="240" w:lineRule="auto"/>
        <w:jc w:val="both"/>
        <w:rPr>
          <w:rFonts w:ascii="Times New Roman" w:hAnsi="Times New Roman"/>
          <w:color w:val="1F497D"/>
          <w:sz w:val="24"/>
          <w:szCs w:val="24"/>
        </w:rPr>
      </w:pPr>
      <w:r>
        <w:rPr>
          <w:rFonts w:ascii="Times New Roman" w:hAnsi="Times New Roman"/>
          <w:color w:val="1F497D"/>
          <w:sz w:val="24"/>
          <w:szCs w:val="24"/>
        </w:rPr>
        <w:t>orientar as comunidades a adotar comportamentos adequados de prevenção e de resposta em situação de desastre e promover a autoproteção.</w:t>
      </w:r>
    </w:p>
    <w:p w:rsidR="00EF4256" w:rsidRDefault="00EF4256">
      <w:pPr>
        <w:spacing w:after="0" w:line="240" w:lineRule="auto"/>
        <w:ind w:firstLine="426"/>
        <w:jc w:val="both"/>
        <w:rPr>
          <w:rFonts w:ascii="Times New Roman" w:hAnsi="Times New Roman"/>
          <w:color w:val="1F497D"/>
          <w:sz w:val="24"/>
          <w:szCs w:val="24"/>
        </w:rPr>
      </w:pPr>
      <w:r>
        <w:rPr>
          <w:rFonts w:ascii="Times New Roman" w:hAnsi="Times New Roman"/>
          <w:color w:val="1F497D"/>
          <w:sz w:val="24"/>
          <w:szCs w:val="24"/>
        </w:rPr>
        <w:t>Desta forma, o fortalecimento institucional das administrações municipais para a redução de riscos de desastres, em particular em suas ações de prevenção, mitigação e preparação frente aos eventos adversos naturais, se considera como fundamental no sentido de aperfeiçoar suas capacidades de planejamento e gestão do ponto de vista organizacional, técnica e operacional. Por outro lado, a implementação de intervenções físicas nos territórios urbanos que minimizem as vulnerabilidades existentes no sentido de prevenir e mitigar os desastres naturais, assim como criar melhores condições de assistência às populações e recuperar as áreas afetadas visando restaurar suas condições anteriores de normalidade.</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CRITÉRIOS DE ELEGIBILIDADE</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MUNICÍPIOS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Serão elegíveis no âmbito do Programa os municípios paranaenses que se enquadrem nos seguintes critérios:</w:t>
      </w:r>
    </w:p>
    <w:p w:rsidR="00EF4256" w:rsidRDefault="00EF4256">
      <w:pPr>
        <w:pStyle w:val="ListParagraph"/>
        <w:spacing w:after="0" w:line="360" w:lineRule="auto"/>
        <w:ind w:left="0"/>
        <w:jc w:val="both"/>
        <w:rPr>
          <w:rFonts w:ascii="Times New Roman" w:hAnsi="Times New Roman"/>
          <w:sz w:val="24"/>
          <w:szCs w:val="24"/>
        </w:rPr>
      </w:pPr>
    </w:p>
    <w:p w:rsidR="00EF4256" w:rsidRDefault="00EF4256">
      <w:pPr>
        <w:pStyle w:val="ListParagraph"/>
        <w:numPr>
          <w:ilvl w:val="2"/>
          <w:numId w:val="1"/>
        </w:numPr>
        <w:spacing w:after="0" w:line="240" w:lineRule="auto"/>
        <w:jc w:val="both"/>
        <w:rPr>
          <w:rFonts w:ascii="Times New Roman" w:hAnsi="Times New Roman"/>
          <w:b/>
          <w:sz w:val="24"/>
          <w:szCs w:val="24"/>
        </w:rPr>
      </w:pPr>
      <w:r>
        <w:rPr>
          <w:rFonts w:ascii="Times New Roman" w:hAnsi="Times New Roman"/>
          <w:sz w:val="24"/>
          <w:szCs w:val="24"/>
        </w:rPr>
        <w:t>Cumpram a legislação vigente, em especial o disposto no Capítulo VII da Lei Complementar nº 101, de 4 de maio de 2000 (Lei de Responsabilidade Fiscal) e a Lei estadual nº 15.229/2006;</w:t>
      </w:r>
    </w:p>
    <w:p w:rsidR="00EF4256" w:rsidRDefault="00EF4256">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firmado Termos de Adesão e Convênio e estejam cumprindo com seus termos, incluindo aqueles estipulados nos seus anexos;</w:t>
      </w:r>
    </w:p>
    <w:p w:rsidR="00EF4256" w:rsidRDefault="00EF4256">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capacidade de endividamento devidamente comprovada;</w:t>
      </w:r>
    </w:p>
    <w:p w:rsidR="00EF4256" w:rsidRDefault="00EF4256">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COMDEC estruturada e com pessoal designado para exercer a função de forma exclusiva;</w:t>
      </w:r>
    </w:p>
    <w:p w:rsidR="00EF4256" w:rsidRDefault="00EF4256">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Plano de Contingência de Proteção e Defesa Civil devidamente atualizado/vigente e avalizado por meio de Audiência Pública;</w:t>
      </w:r>
    </w:p>
    <w:p w:rsidR="00EF4256" w:rsidRDefault="00EF4256">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Sejam integrantes do grupo de municípios considerados prioritários pela CEPDEC;</w:t>
      </w:r>
    </w:p>
    <w:p w:rsidR="00EF4256" w:rsidRDefault="00EF4256">
      <w:pPr>
        <w:pStyle w:val="ListParagraph"/>
        <w:numPr>
          <w:ilvl w:val="2"/>
          <w:numId w:val="1"/>
        </w:numPr>
        <w:spacing w:after="0" w:line="240" w:lineRule="auto"/>
        <w:jc w:val="both"/>
        <w:rPr>
          <w:rFonts w:ascii="Times New Roman" w:hAnsi="Times New Roman"/>
          <w:sz w:val="24"/>
          <w:szCs w:val="24"/>
        </w:rPr>
      </w:pPr>
      <w:r>
        <w:rPr>
          <w:rFonts w:ascii="Times New Roman" w:hAnsi="Times New Roman"/>
          <w:sz w:val="24"/>
          <w:szCs w:val="24"/>
        </w:rPr>
        <w:t>Tenham aderido à Campanha “Cidades Resilientes”;</w:t>
      </w:r>
    </w:p>
    <w:p w:rsidR="00EF4256" w:rsidRDefault="00EF4256">
      <w:pPr>
        <w:widowControl w:val="0"/>
        <w:autoSpaceDE w:val="0"/>
        <w:autoSpaceDN w:val="0"/>
        <w:adjustRightInd w:val="0"/>
        <w:spacing w:after="0" w:line="240" w:lineRule="auto"/>
        <w:jc w:val="both"/>
        <w:rPr>
          <w:rFonts w:ascii="Times New Roman" w:hAnsi="Times New Roman"/>
          <w:sz w:val="24"/>
          <w:szCs w:val="24"/>
          <w:u w:val="single"/>
        </w:rPr>
      </w:pPr>
    </w:p>
    <w:p w:rsidR="00EF4256" w:rsidRDefault="00EF4256">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PROJETOS</w:t>
      </w:r>
    </w:p>
    <w:p w:rsidR="00EF4256" w:rsidRDefault="00EF4256">
      <w:pPr>
        <w:widowControl w:val="0"/>
        <w:autoSpaceDE w:val="0"/>
        <w:autoSpaceDN w:val="0"/>
        <w:adjustRightInd w:val="0"/>
        <w:spacing w:after="0" w:line="240" w:lineRule="auto"/>
        <w:jc w:val="both"/>
        <w:rPr>
          <w:rFonts w:ascii="Times New Roman" w:hAnsi="Times New Roman"/>
          <w:sz w:val="24"/>
          <w:szCs w:val="24"/>
          <w:u w:val="single"/>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Para serem objeto de financiamento os projetos integrantes do Programa deverão cumprir os critérios definidos no Regulamento do Programa (Anexo I)</w:t>
      </w:r>
      <w:r>
        <w:rPr>
          <w:rStyle w:val="FootnoteReference"/>
          <w:rFonts w:ascii="Times New Roman" w:hAnsi="Times New Roman"/>
          <w:sz w:val="24"/>
          <w:szCs w:val="24"/>
        </w:rPr>
        <w:footnoteReference w:id="15"/>
      </w:r>
      <w:r>
        <w:rPr>
          <w:rFonts w:ascii="Times New Roman" w:hAnsi="Times New Roman"/>
          <w:sz w:val="24"/>
          <w:szCs w:val="24"/>
        </w:rPr>
        <w:t>.</w:t>
      </w:r>
    </w:p>
    <w:p w:rsidR="00EF4256" w:rsidRDefault="00EF4256">
      <w:pPr>
        <w:widowControl w:val="0"/>
        <w:autoSpaceDE w:val="0"/>
        <w:autoSpaceDN w:val="0"/>
        <w:adjustRightInd w:val="0"/>
        <w:spacing w:after="0" w:line="240" w:lineRule="auto"/>
        <w:jc w:val="both"/>
        <w:rPr>
          <w:rFonts w:ascii="Times New Roman" w:hAnsi="Times New Roman"/>
          <w:sz w:val="24"/>
          <w:szCs w:val="24"/>
        </w:rPr>
      </w:pPr>
    </w:p>
    <w:p w:rsidR="00EF4256" w:rsidRDefault="00EF4256">
      <w:pPr>
        <w:spacing w:after="0"/>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QUADRO DE CUSTOS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O custo total do Programa será de R$ 100 milhões que se distribuem de acordo com as fontes e componentes conforme apresentado no quadro a seguir. Os recursos serão disponibilizados de acordo com a ordem de chegada das solicitações e nos montantes acordados na definição das prioridades municipais.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b/>
          <w:sz w:val="24"/>
          <w:szCs w:val="24"/>
        </w:rPr>
      </w:pPr>
      <w:r>
        <w:rPr>
          <w:rFonts w:ascii="Times New Roman" w:hAnsi="Times New Roman"/>
          <w:b/>
          <w:sz w:val="24"/>
          <w:szCs w:val="24"/>
        </w:rPr>
        <w:t>COMPOSIÇÃO DAS FONTES DE RECURSOS POR COMPONENTE</w:t>
      </w:r>
    </w:p>
    <w:p w:rsidR="00EF4256" w:rsidRDefault="00EF4256">
      <w:pPr>
        <w:pStyle w:val="ListParagraph"/>
        <w:spacing w:after="0" w:line="240" w:lineRule="auto"/>
        <w:ind w:left="284" w:right="-1"/>
        <w:jc w:val="right"/>
        <w:rPr>
          <w:rFonts w:ascii="Times New Roman" w:hAnsi="Times New Roman"/>
          <w:sz w:val="24"/>
          <w:szCs w:val="24"/>
        </w:rPr>
      </w:pPr>
      <w:r>
        <w:rPr>
          <w:rFonts w:ascii="Times New Roman" w:hAnsi="Times New Roman"/>
          <w:sz w:val="24"/>
          <w:szCs w:val="24"/>
        </w:rPr>
        <w:t>(Em R$ 1.000,00)</w:t>
      </w:r>
    </w:p>
    <w:tbl>
      <w:tblPr>
        <w:tblW w:w="851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23"/>
        <w:gridCol w:w="1843"/>
        <w:gridCol w:w="1842"/>
        <w:gridCol w:w="1704"/>
      </w:tblGrid>
      <w:tr w:rsidR="00EF4256">
        <w:trPr>
          <w:trHeight w:val="479"/>
          <w:jc w:val="center"/>
        </w:trPr>
        <w:tc>
          <w:tcPr>
            <w:tcW w:w="3123" w:type="dxa"/>
          </w:tcPr>
          <w:p w:rsidR="00EF4256" w:rsidRDefault="00EF425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Componente</w:t>
            </w:r>
          </w:p>
        </w:tc>
        <w:tc>
          <w:tcPr>
            <w:tcW w:w="1843" w:type="dxa"/>
          </w:tcPr>
          <w:p w:rsidR="00EF4256" w:rsidRDefault="00EF4256">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BRDE</w:t>
            </w:r>
          </w:p>
        </w:tc>
        <w:tc>
          <w:tcPr>
            <w:tcW w:w="1842"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Contrapartida Municipal</w:t>
            </w:r>
            <w:r>
              <w:rPr>
                <w:rFonts w:ascii="Times New Roman" w:hAnsi="Times New Roman"/>
                <w:b/>
                <w:sz w:val="16"/>
                <w:szCs w:val="16"/>
              </w:rPr>
              <w:t>*</w:t>
            </w:r>
          </w:p>
        </w:tc>
        <w:tc>
          <w:tcPr>
            <w:tcW w:w="1704"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Total</w:t>
            </w:r>
          </w:p>
        </w:tc>
      </w:tr>
      <w:tr w:rsidR="00EF4256">
        <w:trPr>
          <w:trHeight w:val="279"/>
          <w:jc w:val="center"/>
        </w:trPr>
        <w:tc>
          <w:tcPr>
            <w:tcW w:w="3123" w:type="dxa"/>
          </w:tcPr>
          <w:p w:rsidR="00EF4256" w:rsidRDefault="00EF425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Fortalecimento Institucional</w:t>
            </w:r>
          </w:p>
        </w:tc>
        <w:tc>
          <w:tcPr>
            <w:tcW w:w="1843"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w:t>
            </w:r>
          </w:p>
        </w:tc>
        <w:tc>
          <w:tcPr>
            <w:tcW w:w="1842"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w:t>
            </w:r>
          </w:p>
        </w:tc>
        <w:tc>
          <w:tcPr>
            <w:tcW w:w="1704"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w:t>
            </w:r>
          </w:p>
        </w:tc>
      </w:tr>
      <w:tr w:rsidR="00EF4256">
        <w:trPr>
          <w:trHeight w:val="279"/>
          <w:jc w:val="center"/>
        </w:trPr>
        <w:tc>
          <w:tcPr>
            <w:tcW w:w="3123" w:type="dxa"/>
          </w:tcPr>
          <w:p w:rsidR="00EF4256" w:rsidRDefault="00EF425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Infraestrutura</w:t>
            </w:r>
          </w:p>
        </w:tc>
        <w:tc>
          <w:tcPr>
            <w:tcW w:w="1843"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81.000</w:t>
            </w:r>
          </w:p>
        </w:tc>
        <w:tc>
          <w:tcPr>
            <w:tcW w:w="1842"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w:t>
            </w:r>
          </w:p>
        </w:tc>
        <w:tc>
          <w:tcPr>
            <w:tcW w:w="1704"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90.000</w:t>
            </w:r>
          </w:p>
        </w:tc>
      </w:tr>
      <w:tr w:rsidR="00EF4256">
        <w:trPr>
          <w:trHeight w:val="313"/>
          <w:jc w:val="center"/>
        </w:trPr>
        <w:tc>
          <w:tcPr>
            <w:tcW w:w="3123" w:type="dxa"/>
          </w:tcPr>
          <w:p w:rsidR="00EF4256" w:rsidRDefault="00EF425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1843"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90.000</w:t>
            </w:r>
          </w:p>
        </w:tc>
        <w:tc>
          <w:tcPr>
            <w:tcW w:w="1842"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w:t>
            </w:r>
          </w:p>
        </w:tc>
        <w:tc>
          <w:tcPr>
            <w:tcW w:w="1704"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100.000</w:t>
            </w:r>
          </w:p>
        </w:tc>
      </w:tr>
    </w:tbl>
    <w:p w:rsidR="00EF4256" w:rsidRDefault="00EF4256">
      <w:pPr>
        <w:pStyle w:val="ListParagraph"/>
        <w:spacing w:after="0" w:line="240" w:lineRule="auto"/>
        <w:ind w:left="0" w:right="-108"/>
        <w:rPr>
          <w:rFonts w:ascii="Times New Roman" w:hAnsi="Times New Roman"/>
          <w:sz w:val="16"/>
          <w:szCs w:val="16"/>
        </w:rPr>
      </w:pPr>
      <w:r>
        <w:rPr>
          <w:rFonts w:ascii="Times New Roman" w:hAnsi="Times New Roman"/>
          <w:sz w:val="16"/>
          <w:szCs w:val="16"/>
        </w:rPr>
        <w:t>* incluindo recursos de transferências voluntárias ou de empréstimo do Estado ou União.</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CONDIÇÕES DE FINANCIAMENTO</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Tomadores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 xml:space="preserve">Os contratos de empréstimo terão prazo de carência de 12 meses, a partir da data do primeiro desembolso, e prazo de amortização - incluído o de carência </w:t>
      </w:r>
      <w:r>
        <w:rPr>
          <w:rFonts w:ascii="Times New Roman" w:hAnsi="Times New Roman"/>
          <w:sz w:val="24"/>
          <w:szCs w:val="24"/>
        </w:rPr>
        <w:sym w:font="Symbol" w:char="F0BE"/>
      </w:r>
      <w:r>
        <w:rPr>
          <w:rFonts w:ascii="Times New Roman" w:hAnsi="Times New Roman"/>
          <w:sz w:val="24"/>
          <w:szCs w:val="24"/>
        </w:rPr>
        <w:t xml:space="preserve"> de até 120 meses, contado da data de assinatura, conforme o componente e projeto indicado no quadro abaixo.</w:t>
      </w:r>
    </w:p>
    <w:p w:rsidR="00EF4256" w:rsidRDefault="00EF4256">
      <w:pPr>
        <w:spacing w:after="0" w:line="240" w:lineRule="auto"/>
        <w:jc w:val="both"/>
        <w:rPr>
          <w:rFonts w:ascii="Times New Roman" w:hAnsi="Times New Roman"/>
          <w:sz w:val="24"/>
          <w:szCs w:val="24"/>
        </w:rPr>
      </w:pPr>
    </w:p>
    <w:p w:rsidR="00EF4256" w:rsidRDefault="00EF4256">
      <w:pPr>
        <w:pStyle w:val="BodyTextIndent2"/>
        <w:spacing w:after="0" w:line="240" w:lineRule="auto"/>
        <w:ind w:left="0"/>
        <w:rPr>
          <w:rFonts w:ascii="Times New Roman" w:hAnsi="Times New Roman"/>
          <w:b/>
          <w:sz w:val="24"/>
          <w:szCs w:val="24"/>
        </w:rPr>
      </w:pPr>
      <w:r>
        <w:rPr>
          <w:rFonts w:ascii="Times New Roman" w:hAnsi="Times New Roman"/>
          <w:b/>
          <w:sz w:val="24"/>
          <w:szCs w:val="24"/>
        </w:rPr>
        <w:t>PERFIL DOS CONTRATOS DE EMPRÉSTIMO POR COMPONENTE</w:t>
      </w:r>
    </w:p>
    <w:p w:rsidR="00EF4256" w:rsidRDefault="00EF4256">
      <w:pPr>
        <w:pStyle w:val="BodyTextIndent2"/>
        <w:spacing w:after="0" w:line="240" w:lineRule="auto"/>
        <w:ind w:left="0"/>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03"/>
        <w:gridCol w:w="1985"/>
        <w:gridCol w:w="1417"/>
      </w:tblGrid>
      <w:tr w:rsidR="00EF4256">
        <w:trPr>
          <w:trHeight w:val="348"/>
        </w:trPr>
        <w:tc>
          <w:tcPr>
            <w:tcW w:w="5103" w:type="dxa"/>
          </w:tcPr>
          <w:p w:rsidR="00EF4256" w:rsidRDefault="00EF4256">
            <w:pPr>
              <w:pStyle w:val="BodyTextIndent2"/>
              <w:spacing w:after="0" w:line="240" w:lineRule="auto"/>
              <w:ind w:left="0"/>
              <w:rPr>
                <w:rFonts w:ascii="Times New Roman" w:hAnsi="Times New Roman"/>
                <w:b/>
                <w:sz w:val="24"/>
                <w:szCs w:val="24"/>
              </w:rPr>
            </w:pPr>
            <w:r>
              <w:rPr>
                <w:rFonts w:ascii="Times New Roman" w:hAnsi="Times New Roman"/>
                <w:b/>
                <w:sz w:val="24"/>
                <w:szCs w:val="24"/>
              </w:rPr>
              <w:t>Componente/Projeto</w:t>
            </w:r>
          </w:p>
        </w:tc>
        <w:tc>
          <w:tcPr>
            <w:tcW w:w="1985" w:type="dxa"/>
          </w:tcPr>
          <w:p w:rsidR="00EF4256" w:rsidRDefault="00EF4256">
            <w:pPr>
              <w:pStyle w:val="BodyTextIndent2"/>
              <w:spacing w:after="0" w:line="240" w:lineRule="auto"/>
              <w:ind w:left="-70" w:right="-70"/>
              <w:jc w:val="center"/>
              <w:rPr>
                <w:rFonts w:ascii="Times New Roman" w:hAnsi="Times New Roman"/>
                <w:b/>
                <w:sz w:val="24"/>
                <w:szCs w:val="24"/>
              </w:rPr>
            </w:pPr>
            <w:r>
              <w:rPr>
                <w:rFonts w:ascii="Times New Roman" w:hAnsi="Times New Roman"/>
                <w:b/>
                <w:sz w:val="24"/>
                <w:szCs w:val="24"/>
              </w:rPr>
              <w:t>Prazo de Carência (meses)</w:t>
            </w:r>
          </w:p>
        </w:tc>
        <w:tc>
          <w:tcPr>
            <w:tcW w:w="1417" w:type="dxa"/>
          </w:tcPr>
          <w:p w:rsidR="00EF4256" w:rsidRDefault="00EF4256">
            <w:pPr>
              <w:pStyle w:val="BodyTextIndent2"/>
              <w:spacing w:after="0" w:line="240" w:lineRule="auto"/>
              <w:ind w:left="-70" w:right="-70"/>
              <w:jc w:val="center"/>
              <w:rPr>
                <w:rFonts w:ascii="Times New Roman" w:hAnsi="Times New Roman"/>
                <w:b/>
                <w:sz w:val="24"/>
                <w:szCs w:val="24"/>
              </w:rPr>
            </w:pPr>
            <w:r>
              <w:rPr>
                <w:rFonts w:ascii="Times New Roman" w:hAnsi="Times New Roman"/>
                <w:b/>
                <w:sz w:val="24"/>
                <w:szCs w:val="24"/>
              </w:rPr>
              <w:t>Prazo Total (meses)</w:t>
            </w:r>
          </w:p>
        </w:tc>
      </w:tr>
      <w:tr w:rsidR="00EF4256">
        <w:tc>
          <w:tcPr>
            <w:tcW w:w="5103" w:type="dxa"/>
          </w:tcPr>
          <w:p w:rsidR="00EF4256" w:rsidRDefault="00EF4256">
            <w:pPr>
              <w:pStyle w:val="BodyTextIndent2"/>
              <w:spacing w:after="0" w:line="240" w:lineRule="auto"/>
              <w:ind w:left="0"/>
              <w:rPr>
                <w:rFonts w:ascii="Times New Roman" w:hAnsi="Times New Roman"/>
                <w:b/>
                <w:sz w:val="24"/>
                <w:szCs w:val="24"/>
              </w:rPr>
            </w:pPr>
            <w:r>
              <w:rPr>
                <w:rFonts w:ascii="Times New Roman" w:hAnsi="Times New Roman"/>
                <w:b/>
                <w:sz w:val="24"/>
                <w:szCs w:val="24"/>
              </w:rPr>
              <w:t>Fortalecimento institucional</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Carta geotécnica de aptidão à urbanização</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Cadastro e mapeamento de áreas de risco a desastres naturais</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Sistema de fiscalização de áreas inaptas à ocupação</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Sistema municipal de informações, fiscalização e monitoramento, alerta e alarme das áreas de risco e de atenção</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Plano Municipal de Proteção e Defesa Civil</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Plano municipal de implantação de obras e serviços para redução de risco de desastres naturais</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Plano de relocação de famílias de áreas vulneráveis a desastres</w:t>
            </w:r>
          </w:p>
        </w:tc>
        <w:tc>
          <w:tcPr>
            <w:tcW w:w="1985"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12</w:t>
            </w:r>
          </w:p>
        </w:tc>
        <w:tc>
          <w:tcPr>
            <w:tcW w:w="1417"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60</w:t>
            </w:r>
          </w:p>
        </w:tc>
      </w:tr>
      <w:tr w:rsidR="00EF4256">
        <w:trPr>
          <w:trHeight w:val="669"/>
        </w:trPr>
        <w:tc>
          <w:tcPr>
            <w:tcW w:w="5103" w:type="dxa"/>
          </w:tcPr>
          <w:p w:rsidR="00EF4256" w:rsidRDefault="00EF4256">
            <w:pPr>
              <w:spacing w:after="0" w:line="240" w:lineRule="auto"/>
              <w:jc w:val="both"/>
              <w:rPr>
                <w:rFonts w:ascii="Times New Roman" w:hAnsi="Times New Roman"/>
                <w:b/>
                <w:sz w:val="24"/>
                <w:szCs w:val="24"/>
              </w:rPr>
            </w:pPr>
            <w:r>
              <w:rPr>
                <w:rFonts w:ascii="Times New Roman" w:hAnsi="Times New Roman"/>
                <w:b/>
                <w:sz w:val="24"/>
                <w:szCs w:val="24"/>
              </w:rPr>
              <w:t>Infraestrutura</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Contenção de alagamento e inundação</w:t>
            </w:r>
          </w:p>
          <w:p w:rsidR="00EF4256" w:rsidRDefault="00EF4256">
            <w:pPr>
              <w:widowControl w:val="0"/>
              <w:autoSpaceDE w:val="0"/>
              <w:autoSpaceDN w:val="0"/>
              <w:adjustRightInd w:val="0"/>
              <w:spacing w:after="0" w:line="240" w:lineRule="auto"/>
              <w:ind w:left="639"/>
              <w:jc w:val="both"/>
              <w:rPr>
                <w:rFonts w:ascii="Times New Roman" w:hAnsi="Times New Roman"/>
                <w:sz w:val="24"/>
                <w:szCs w:val="24"/>
              </w:rPr>
            </w:pPr>
            <w:r>
              <w:rPr>
                <w:rFonts w:ascii="Times New Roman" w:hAnsi="Times New Roman"/>
                <w:sz w:val="24"/>
                <w:szCs w:val="24"/>
              </w:rPr>
              <w:t xml:space="preserve">(obra de macro e micro drenagem; rede de galerias de águas pluviais; canal extravasor; bacia de contenção; barragem; obra de arte especial; parque linear; </w:t>
            </w:r>
            <w:r>
              <w:rPr>
                <w:rFonts w:ascii="Times New Roman" w:hAnsi="Times New Roman"/>
                <w:color w:val="FF0000"/>
                <w:sz w:val="24"/>
                <w:szCs w:val="24"/>
              </w:rPr>
              <w:t>renaturalização de corpo hídrico</w:t>
            </w:r>
            <w:r>
              <w:rPr>
                <w:rFonts w:ascii="Times New Roman" w:hAnsi="Times New Roman"/>
                <w:sz w:val="24"/>
                <w:szCs w:val="24"/>
              </w:rPr>
              <w:t>)</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Contenção de deslizamento e erosão</w:t>
            </w:r>
          </w:p>
          <w:p w:rsidR="00EF4256" w:rsidRDefault="00EF4256">
            <w:pPr>
              <w:widowControl w:val="0"/>
              <w:autoSpaceDE w:val="0"/>
              <w:autoSpaceDN w:val="0"/>
              <w:adjustRightInd w:val="0"/>
              <w:spacing w:after="0" w:line="240" w:lineRule="auto"/>
              <w:ind w:left="639"/>
              <w:jc w:val="both"/>
              <w:rPr>
                <w:rFonts w:ascii="Times New Roman" w:hAnsi="Times New Roman"/>
                <w:sz w:val="24"/>
                <w:szCs w:val="24"/>
              </w:rPr>
            </w:pPr>
            <w:r>
              <w:rPr>
                <w:rFonts w:ascii="Times New Roman" w:hAnsi="Times New Roman"/>
                <w:sz w:val="24"/>
                <w:szCs w:val="24"/>
              </w:rPr>
              <w:t>(muro de arrimo; barragem; gabião; pavimentação de vias urbanas)</w:t>
            </w:r>
          </w:p>
        </w:tc>
        <w:tc>
          <w:tcPr>
            <w:tcW w:w="1985"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12</w:t>
            </w:r>
          </w:p>
        </w:tc>
        <w:tc>
          <w:tcPr>
            <w:tcW w:w="1417"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96/120</w:t>
            </w:r>
          </w:p>
        </w:tc>
      </w:tr>
    </w:tbl>
    <w:p w:rsidR="00EF4256" w:rsidRDefault="00EF4256">
      <w:pPr>
        <w:jc w:val="right"/>
        <w:rPr>
          <w:rFonts w:ascii="Times New Roman" w:hAnsi="Times New Roman"/>
          <w:sz w:val="24"/>
          <w:szCs w:val="24"/>
        </w:rPr>
      </w:pPr>
      <w:r>
        <w:rPr>
          <w:rFonts w:ascii="Times New Roman" w:hAnsi="Times New Roman"/>
          <w:sz w:val="24"/>
          <w:szCs w:val="24"/>
        </w:rPr>
        <w:t>(continua)</w:t>
      </w:r>
    </w:p>
    <w:p w:rsidR="00EF4256" w:rsidRDefault="00EF4256">
      <w:pPr>
        <w:spacing w:after="0" w:line="240" w:lineRule="auto"/>
        <w:jc w:val="right"/>
        <w:rPr>
          <w:rFonts w:ascii="Times New Roman" w:hAnsi="Times New Roman"/>
          <w:sz w:val="24"/>
          <w:szCs w:val="24"/>
        </w:rPr>
      </w:pPr>
      <w:r>
        <w:rPr>
          <w:rFonts w:ascii="Times New Roman" w:hAnsi="Times New Roman"/>
          <w:sz w:val="24"/>
          <w:szCs w:val="24"/>
        </w:rPr>
        <w:t>(continuação)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2"/>
        <w:gridCol w:w="1984"/>
        <w:gridCol w:w="1559"/>
      </w:tblGrid>
      <w:tr w:rsidR="00EF4256">
        <w:trPr>
          <w:trHeight w:val="669"/>
        </w:trPr>
        <w:tc>
          <w:tcPr>
            <w:tcW w:w="4962" w:type="dxa"/>
          </w:tcPr>
          <w:p w:rsidR="00EF4256" w:rsidRDefault="00EF4256">
            <w:pPr>
              <w:spacing w:after="0" w:line="240" w:lineRule="auto"/>
              <w:jc w:val="both"/>
              <w:rPr>
                <w:rFonts w:ascii="Times New Roman" w:hAnsi="Times New Roman"/>
                <w:b/>
                <w:sz w:val="24"/>
                <w:szCs w:val="24"/>
              </w:rPr>
            </w:pPr>
            <w:r>
              <w:rPr>
                <w:rFonts w:ascii="Times New Roman" w:hAnsi="Times New Roman"/>
                <w:b/>
                <w:sz w:val="24"/>
                <w:szCs w:val="24"/>
              </w:rPr>
              <w:t>Componente/Projeto</w:t>
            </w:r>
          </w:p>
        </w:tc>
        <w:tc>
          <w:tcPr>
            <w:tcW w:w="1984"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Prazo de Carência (meses)</w:t>
            </w:r>
          </w:p>
        </w:tc>
        <w:tc>
          <w:tcPr>
            <w:tcW w:w="1559"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Prazo Total (meses)</w:t>
            </w:r>
          </w:p>
        </w:tc>
      </w:tr>
      <w:tr w:rsidR="00EF4256">
        <w:trPr>
          <w:trHeight w:val="669"/>
        </w:trPr>
        <w:tc>
          <w:tcPr>
            <w:tcW w:w="4962" w:type="dxa"/>
          </w:tcPr>
          <w:p w:rsidR="00EF4256" w:rsidRDefault="00EF4256">
            <w:pPr>
              <w:spacing w:after="0" w:line="240" w:lineRule="auto"/>
              <w:jc w:val="both"/>
              <w:rPr>
                <w:rFonts w:ascii="Times New Roman" w:hAnsi="Times New Roman"/>
                <w:b/>
                <w:sz w:val="24"/>
                <w:szCs w:val="24"/>
              </w:rPr>
            </w:pPr>
            <w:r>
              <w:rPr>
                <w:rFonts w:ascii="Times New Roman" w:hAnsi="Times New Roman"/>
                <w:b/>
                <w:sz w:val="24"/>
                <w:szCs w:val="24"/>
              </w:rPr>
              <w:t>Infraestrutura</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Sistema de monitoramento, alerta e alarme em áreas vulneráveis</w:t>
            </w:r>
          </w:p>
          <w:p w:rsidR="00EF4256" w:rsidRDefault="00EF4256">
            <w:pPr>
              <w:pStyle w:val="BodyTextIndent2"/>
              <w:spacing w:after="0" w:line="240" w:lineRule="auto"/>
              <w:ind w:left="497" w:right="-1"/>
              <w:rPr>
                <w:rFonts w:ascii="Times New Roman" w:hAnsi="Times New Roman"/>
                <w:sz w:val="24"/>
                <w:szCs w:val="24"/>
              </w:rPr>
            </w:pPr>
            <w:r>
              <w:rPr>
                <w:rFonts w:ascii="Times New Roman" w:hAnsi="Times New Roman"/>
                <w:sz w:val="24"/>
                <w:szCs w:val="24"/>
              </w:rPr>
              <w:t xml:space="preserve">(sirenes </w:t>
            </w:r>
            <w:r>
              <w:rPr>
                <w:rFonts w:ascii="Times New Roman" w:hAnsi="Times New Roman"/>
                <w:color w:val="FF0000"/>
                <w:sz w:val="24"/>
                <w:szCs w:val="24"/>
              </w:rPr>
              <w:t>xxxxxxxxxx</w:t>
            </w:r>
            <w:r>
              <w:rPr>
                <w:rFonts w:ascii="Times New Roman" w:hAnsi="Times New Roman"/>
                <w:sz w:val="24"/>
                <w:szCs w:val="24"/>
              </w:rPr>
              <w:t>)</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Adequação de edificação pública para abrigo</w:t>
            </w:r>
          </w:p>
          <w:p w:rsidR="00EF4256" w:rsidRDefault="00EF4256">
            <w:pPr>
              <w:pStyle w:val="BodyTextIndent2"/>
              <w:spacing w:after="0" w:line="240" w:lineRule="auto"/>
              <w:ind w:left="497" w:right="-1"/>
              <w:rPr>
                <w:rFonts w:ascii="Times New Roman" w:hAnsi="Times New Roman"/>
                <w:sz w:val="24"/>
                <w:szCs w:val="24"/>
              </w:rPr>
            </w:pPr>
            <w:r>
              <w:rPr>
                <w:rFonts w:ascii="Times New Roman" w:hAnsi="Times New Roman"/>
                <w:sz w:val="24"/>
                <w:szCs w:val="24"/>
              </w:rPr>
              <w:t>(ginásio; centro comunitário; escola)</w:t>
            </w:r>
          </w:p>
          <w:p w:rsidR="00EF4256" w:rsidRDefault="00EF4256">
            <w:pPr>
              <w:pStyle w:val="BodyTextIndent2"/>
              <w:numPr>
                <w:ilvl w:val="0"/>
                <w:numId w:val="5"/>
              </w:numPr>
              <w:spacing w:after="0" w:line="240" w:lineRule="auto"/>
              <w:ind w:left="497" w:right="-1" w:hanging="283"/>
              <w:rPr>
                <w:rFonts w:ascii="Times New Roman" w:hAnsi="Times New Roman"/>
                <w:sz w:val="24"/>
                <w:szCs w:val="24"/>
              </w:rPr>
            </w:pPr>
            <w:r>
              <w:rPr>
                <w:rFonts w:ascii="Times New Roman" w:hAnsi="Times New Roman"/>
                <w:sz w:val="24"/>
                <w:szCs w:val="24"/>
              </w:rPr>
              <w:t>Reconstrução de infraestrutura pública urbana</w:t>
            </w:r>
          </w:p>
          <w:p w:rsidR="00EF4256" w:rsidRDefault="00EF4256">
            <w:pPr>
              <w:spacing w:after="0" w:line="240" w:lineRule="auto"/>
              <w:ind w:left="497"/>
              <w:jc w:val="both"/>
              <w:rPr>
                <w:rFonts w:ascii="Times New Roman" w:hAnsi="Times New Roman"/>
                <w:b/>
                <w:sz w:val="24"/>
                <w:szCs w:val="24"/>
              </w:rPr>
            </w:pPr>
            <w:r>
              <w:rPr>
                <w:rFonts w:ascii="Times New Roman" w:hAnsi="Times New Roman"/>
                <w:sz w:val="24"/>
                <w:szCs w:val="24"/>
              </w:rPr>
              <w:t>(rede de abastecimento água; rede de coleta de esgoto; pavimentação de vias urbanas; próprios municipais; equipamento público social ou comunitário; recuperação de área urbana degradada após relocação)</w:t>
            </w:r>
          </w:p>
        </w:tc>
        <w:tc>
          <w:tcPr>
            <w:tcW w:w="1984"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12</w:t>
            </w:r>
          </w:p>
        </w:tc>
        <w:tc>
          <w:tcPr>
            <w:tcW w:w="1559" w:type="dxa"/>
          </w:tcPr>
          <w:p w:rsidR="00EF4256" w:rsidRDefault="00EF4256">
            <w:pPr>
              <w:pStyle w:val="BodyTextIndent2"/>
              <w:spacing w:before="60" w:line="28" w:lineRule="atLeast"/>
              <w:jc w:val="center"/>
              <w:rPr>
                <w:rFonts w:ascii="Times New Roman" w:hAnsi="Times New Roman"/>
                <w:sz w:val="24"/>
                <w:szCs w:val="24"/>
              </w:rPr>
            </w:pPr>
            <w:r>
              <w:rPr>
                <w:rFonts w:ascii="Times New Roman" w:hAnsi="Times New Roman"/>
                <w:sz w:val="24"/>
                <w:szCs w:val="24"/>
              </w:rPr>
              <w:t>96/120</w:t>
            </w:r>
          </w:p>
        </w:tc>
      </w:tr>
    </w:tbl>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 xml:space="preserve">A taxa de juros do empréstimo será a Taxa de Juros de Longo Prazo (TJLP) que terá vigência de um trimestre-calendário, fixada pelo Banco Central do Brasil, aplicada na forma cheia, acrescida de uma margem mínima de </w:t>
      </w:r>
      <w:r>
        <w:rPr>
          <w:rFonts w:ascii="Times New Roman" w:hAnsi="Times New Roman"/>
        </w:rPr>
        <w:fldChar w:fldCharType="begin">
          <w:ffData>
            <w:name w:val="Texto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sz w:val="24"/>
          <w:szCs w:val="24"/>
        </w:rPr>
        <w:t>% (</w:t>
      </w:r>
      <w:r>
        <w:rPr>
          <w:rFonts w:ascii="Times New Roman" w:hAnsi="Times New Roman"/>
        </w:rPr>
        <w:fldChar w:fldCharType="begin">
          <w:ffData>
            <w:name w:val="Texto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sz w:val="24"/>
          <w:szCs w:val="24"/>
        </w:rPr>
        <w:t xml:space="preserve"> por cento), que vigorará pelo prazo total do contrato de empréstimo e incidirá sobre o saldo devedor.</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Os Municípios, através de Lei, darão como garantia do empréstimo a sua Cota-Parte do ICMS e/ou o FPM.</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tabs>
          <w:tab w:val="left" w:pos="284"/>
        </w:tabs>
        <w:spacing w:after="0" w:line="240" w:lineRule="auto"/>
        <w:jc w:val="both"/>
        <w:rPr>
          <w:rFonts w:ascii="Times New Roman" w:hAnsi="Times New Roman"/>
          <w:b/>
          <w:sz w:val="24"/>
          <w:szCs w:val="24"/>
        </w:rPr>
      </w:pPr>
      <w:r>
        <w:rPr>
          <w:rFonts w:ascii="Times New Roman" w:hAnsi="Times New Roman"/>
          <w:b/>
          <w:sz w:val="24"/>
          <w:szCs w:val="24"/>
        </w:rPr>
        <w:t>Dos projetos</w:t>
      </w:r>
    </w:p>
    <w:p w:rsidR="00EF4256" w:rsidRDefault="00EF4256">
      <w:pPr>
        <w:spacing w:after="0" w:line="240" w:lineRule="auto"/>
        <w:jc w:val="both"/>
        <w:rPr>
          <w:rFonts w:ascii="Times New Roman" w:hAnsi="Times New Roman"/>
          <w:sz w:val="24"/>
          <w:szCs w:val="24"/>
          <w:u w:val="single"/>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Os recursos de financiamento do Programa poderão financiar até 100% do custo direto dos projetos municipais.</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Os projetos municipais custeados majoritariamente com recursos de outras fontes poderão ser financiados de forma complementar com recursos do financiamento do Programa, desde que atendidos os critérios de elegibilidade dos projetos do Programa e desde que observada a legislação aplicável com os procedimentos estabelecidos pela instituição financiadora.</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426"/>
        <w:jc w:val="both"/>
        <w:rPr>
          <w:rFonts w:ascii="Times New Roman" w:hAnsi="Times New Roman"/>
          <w:sz w:val="24"/>
          <w:szCs w:val="24"/>
        </w:rPr>
      </w:pPr>
      <w:r>
        <w:rPr>
          <w:rFonts w:ascii="Times New Roman" w:hAnsi="Times New Roman"/>
          <w:sz w:val="24"/>
          <w:szCs w:val="24"/>
        </w:rPr>
        <w:t>Se o custo da obra ou equipamento exceder seu valor contratado, o município será responsável pelo adicional financeiro necessário para sua conclusão ou aquisição.</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CRONOGRAMA FÍSICO-FINANCEIRO</w:t>
      </w:r>
    </w:p>
    <w:p w:rsidR="00EF4256" w:rsidRDefault="00EF4256">
      <w:pPr>
        <w:spacing w:after="0" w:line="240" w:lineRule="auto"/>
        <w:jc w:val="both"/>
        <w:rPr>
          <w:rFonts w:ascii="Times New Roman" w:hAnsi="Times New Roman"/>
          <w:sz w:val="24"/>
          <w:szCs w:val="24"/>
        </w:rPr>
      </w:pPr>
    </w:p>
    <w:p w:rsidR="00EF4256" w:rsidRDefault="00EF4256">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O prazo total de execução do Programa é de 4 anos. O cronograma de execução do Programa se dará conforme previsto no quadro a seguir.</w:t>
      </w:r>
    </w:p>
    <w:p w:rsidR="00EF4256" w:rsidRDefault="00EF4256">
      <w:pPr>
        <w:pStyle w:val="ListParagraph"/>
        <w:spacing w:after="0" w:line="240" w:lineRule="auto"/>
        <w:ind w:left="0"/>
        <w:jc w:val="both"/>
        <w:rPr>
          <w:rFonts w:ascii="Times New Roman" w:hAnsi="Times New Roman"/>
          <w:sz w:val="24"/>
          <w:szCs w:val="24"/>
        </w:rPr>
      </w:pPr>
    </w:p>
    <w:p w:rsidR="00EF4256" w:rsidRDefault="00EF4256">
      <w:pPr>
        <w:pStyle w:val="ListParagraph"/>
        <w:spacing w:after="0" w:line="240" w:lineRule="auto"/>
        <w:ind w:left="0"/>
        <w:jc w:val="both"/>
        <w:rPr>
          <w:rFonts w:ascii="Times New Roman" w:hAnsi="Times New Roman"/>
          <w:sz w:val="24"/>
          <w:szCs w:val="24"/>
        </w:rPr>
      </w:pPr>
    </w:p>
    <w:p w:rsidR="00EF4256" w:rsidRDefault="00EF4256">
      <w:pPr>
        <w:pStyle w:val="ListParagraph"/>
        <w:spacing w:after="0" w:line="240" w:lineRule="auto"/>
        <w:ind w:left="0"/>
        <w:jc w:val="both"/>
        <w:rPr>
          <w:rFonts w:ascii="Times New Roman" w:hAnsi="Times New Roman"/>
          <w:sz w:val="24"/>
          <w:szCs w:val="24"/>
        </w:rPr>
      </w:pPr>
    </w:p>
    <w:p w:rsidR="00EF4256" w:rsidRDefault="00EF4256">
      <w:pPr>
        <w:pStyle w:val="ListParagraph"/>
        <w:spacing w:after="0" w:line="240" w:lineRule="auto"/>
        <w:ind w:left="0"/>
        <w:jc w:val="both"/>
        <w:rPr>
          <w:rFonts w:ascii="Times New Roman" w:hAnsi="Times New Roman"/>
          <w:sz w:val="24"/>
          <w:szCs w:val="24"/>
        </w:rPr>
      </w:pPr>
    </w:p>
    <w:p w:rsidR="00EF4256" w:rsidRDefault="00EF425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CRONOGRAMA FÍSICO-FINANCEIRO</w:t>
      </w:r>
    </w:p>
    <w:p w:rsidR="00EF4256" w:rsidRDefault="00EF4256">
      <w:pPr>
        <w:pStyle w:val="ListParagraph"/>
        <w:spacing w:after="0" w:line="240" w:lineRule="auto"/>
        <w:ind w:left="284" w:right="-1"/>
        <w:jc w:val="right"/>
        <w:rPr>
          <w:rFonts w:ascii="Times New Roman" w:hAnsi="Times New Roman"/>
          <w:sz w:val="24"/>
          <w:szCs w:val="24"/>
        </w:rPr>
      </w:pPr>
      <w:r>
        <w:rPr>
          <w:rFonts w:ascii="Times New Roman" w:hAnsi="Times New Roman"/>
          <w:sz w:val="24"/>
          <w:szCs w:val="24"/>
        </w:rPr>
        <w:t>(Em R$ 1.000,00)</w:t>
      </w:r>
    </w:p>
    <w:tbl>
      <w:tblPr>
        <w:tblW w:w="851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1"/>
        <w:gridCol w:w="1106"/>
        <w:gridCol w:w="1106"/>
        <w:gridCol w:w="1106"/>
        <w:gridCol w:w="1106"/>
        <w:gridCol w:w="1107"/>
      </w:tblGrid>
      <w:tr w:rsidR="00EF4256">
        <w:trPr>
          <w:trHeight w:val="291"/>
          <w:jc w:val="center"/>
        </w:trPr>
        <w:tc>
          <w:tcPr>
            <w:tcW w:w="2981" w:type="dxa"/>
          </w:tcPr>
          <w:p w:rsidR="00EF4256" w:rsidRDefault="00EF425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Fonte de Financiamento</w:t>
            </w:r>
          </w:p>
        </w:tc>
        <w:tc>
          <w:tcPr>
            <w:tcW w:w="1106" w:type="dxa"/>
          </w:tcPr>
          <w:p w:rsidR="00EF4256" w:rsidRDefault="00EF4256">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Ano 1</w:t>
            </w:r>
          </w:p>
        </w:tc>
        <w:tc>
          <w:tcPr>
            <w:tcW w:w="1106"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Ano 2</w:t>
            </w:r>
          </w:p>
        </w:tc>
        <w:tc>
          <w:tcPr>
            <w:tcW w:w="1106"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Ano 3</w:t>
            </w:r>
          </w:p>
        </w:tc>
        <w:tc>
          <w:tcPr>
            <w:tcW w:w="1106"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Ano 4</w:t>
            </w:r>
          </w:p>
        </w:tc>
        <w:tc>
          <w:tcPr>
            <w:tcW w:w="1107"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Total</w:t>
            </w:r>
          </w:p>
        </w:tc>
      </w:tr>
      <w:tr w:rsidR="00EF4256">
        <w:trPr>
          <w:trHeight w:val="280"/>
          <w:jc w:val="center"/>
        </w:trPr>
        <w:tc>
          <w:tcPr>
            <w:tcW w:w="2981" w:type="dxa"/>
          </w:tcPr>
          <w:p w:rsidR="00EF4256" w:rsidRDefault="00EF425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BRDE</w:t>
            </w:r>
          </w:p>
        </w:tc>
        <w:tc>
          <w:tcPr>
            <w:tcW w:w="1106" w:type="dxa"/>
          </w:tcPr>
          <w:p w:rsidR="00EF4256" w:rsidRDefault="00EF4256">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18.000</w:t>
            </w:r>
          </w:p>
        </w:tc>
        <w:tc>
          <w:tcPr>
            <w:tcW w:w="1106"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27.000</w:t>
            </w:r>
          </w:p>
        </w:tc>
        <w:tc>
          <w:tcPr>
            <w:tcW w:w="1106"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27.000</w:t>
            </w:r>
          </w:p>
        </w:tc>
        <w:tc>
          <w:tcPr>
            <w:tcW w:w="1106"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18.000</w:t>
            </w:r>
          </w:p>
        </w:tc>
        <w:tc>
          <w:tcPr>
            <w:tcW w:w="1107"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90.000</w:t>
            </w:r>
          </w:p>
        </w:tc>
      </w:tr>
      <w:tr w:rsidR="00EF4256">
        <w:trPr>
          <w:trHeight w:val="479"/>
          <w:jc w:val="center"/>
        </w:trPr>
        <w:tc>
          <w:tcPr>
            <w:tcW w:w="2981" w:type="dxa"/>
          </w:tcPr>
          <w:p w:rsidR="00EF4256" w:rsidRDefault="00EF4256">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Fortalecimento Institucional</w:t>
            </w:r>
          </w:p>
        </w:tc>
        <w:tc>
          <w:tcPr>
            <w:tcW w:w="1106" w:type="dxa"/>
          </w:tcPr>
          <w:p w:rsidR="00EF4256" w:rsidRDefault="00EF4256">
            <w:pPr>
              <w:pStyle w:val="ListParagraph"/>
              <w:spacing w:after="0" w:line="240" w:lineRule="auto"/>
              <w:ind w:left="-106"/>
              <w:jc w:val="center"/>
              <w:rPr>
                <w:rFonts w:ascii="Times New Roman" w:hAnsi="Times New Roman"/>
                <w:sz w:val="24"/>
                <w:szCs w:val="24"/>
              </w:rPr>
            </w:pPr>
            <w:r>
              <w:rPr>
                <w:rFonts w:ascii="Times New Roman" w:hAnsi="Times New Roman"/>
                <w:sz w:val="24"/>
                <w:szCs w:val="24"/>
              </w:rPr>
              <w:t>1.800</w:t>
            </w:r>
          </w:p>
        </w:tc>
        <w:tc>
          <w:tcPr>
            <w:tcW w:w="1106" w:type="dxa"/>
          </w:tcPr>
          <w:p w:rsidR="00EF4256" w:rsidRDefault="00EF4256">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2.700</w:t>
            </w:r>
          </w:p>
        </w:tc>
        <w:tc>
          <w:tcPr>
            <w:tcW w:w="1106" w:type="dxa"/>
          </w:tcPr>
          <w:p w:rsidR="00EF4256" w:rsidRDefault="00EF4256">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2.700</w:t>
            </w:r>
          </w:p>
        </w:tc>
        <w:tc>
          <w:tcPr>
            <w:tcW w:w="1106" w:type="dxa"/>
          </w:tcPr>
          <w:p w:rsidR="00EF4256" w:rsidRDefault="00EF4256">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1.800</w:t>
            </w:r>
          </w:p>
        </w:tc>
        <w:tc>
          <w:tcPr>
            <w:tcW w:w="1107" w:type="dxa"/>
          </w:tcPr>
          <w:p w:rsidR="00EF4256" w:rsidRDefault="00EF4256">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9.000</w:t>
            </w:r>
          </w:p>
        </w:tc>
      </w:tr>
      <w:tr w:rsidR="00EF4256">
        <w:trPr>
          <w:trHeight w:val="479"/>
          <w:jc w:val="center"/>
        </w:trPr>
        <w:tc>
          <w:tcPr>
            <w:tcW w:w="2981" w:type="dxa"/>
          </w:tcPr>
          <w:p w:rsidR="00EF4256" w:rsidRDefault="00EF4256">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Infraestrutura</w:t>
            </w:r>
          </w:p>
        </w:tc>
        <w:tc>
          <w:tcPr>
            <w:tcW w:w="1106" w:type="dxa"/>
          </w:tcPr>
          <w:p w:rsidR="00EF4256" w:rsidRDefault="00EF4256">
            <w:pPr>
              <w:pStyle w:val="ListParagraph"/>
              <w:spacing w:after="0" w:line="240" w:lineRule="auto"/>
              <w:ind w:left="-106"/>
              <w:jc w:val="center"/>
              <w:rPr>
                <w:rFonts w:ascii="Times New Roman" w:hAnsi="Times New Roman"/>
                <w:sz w:val="24"/>
                <w:szCs w:val="24"/>
              </w:rPr>
            </w:pPr>
            <w:r>
              <w:rPr>
                <w:rFonts w:ascii="Times New Roman" w:hAnsi="Times New Roman"/>
                <w:sz w:val="24"/>
                <w:szCs w:val="24"/>
              </w:rPr>
              <w:t>16.200</w:t>
            </w:r>
          </w:p>
        </w:tc>
        <w:tc>
          <w:tcPr>
            <w:tcW w:w="1106" w:type="dxa"/>
          </w:tcPr>
          <w:p w:rsidR="00EF4256" w:rsidRDefault="00EF4256">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24.300</w:t>
            </w:r>
          </w:p>
        </w:tc>
        <w:tc>
          <w:tcPr>
            <w:tcW w:w="1106" w:type="dxa"/>
          </w:tcPr>
          <w:p w:rsidR="00EF4256" w:rsidRDefault="00EF4256">
            <w:pPr>
              <w:pStyle w:val="ListParagraph"/>
              <w:spacing w:after="0" w:line="240" w:lineRule="auto"/>
              <w:ind w:left="-108" w:right="-122"/>
              <w:jc w:val="center"/>
              <w:rPr>
                <w:rFonts w:ascii="Times New Roman" w:hAnsi="Times New Roman"/>
                <w:sz w:val="24"/>
                <w:szCs w:val="24"/>
              </w:rPr>
            </w:pPr>
            <w:r>
              <w:rPr>
                <w:rFonts w:ascii="Times New Roman" w:hAnsi="Times New Roman"/>
                <w:sz w:val="24"/>
                <w:szCs w:val="24"/>
              </w:rPr>
              <w:t>24.300</w:t>
            </w:r>
          </w:p>
        </w:tc>
        <w:tc>
          <w:tcPr>
            <w:tcW w:w="1106" w:type="dxa"/>
          </w:tcPr>
          <w:p w:rsidR="00EF4256" w:rsidRDefault="00EF4256">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16.200</w:t>
            </w:r>
          </w:p>
        </w:tc>
        <w:tc>
          <w:tcPr>
            <w:tcW w:w="1107" w:type="dxa"/>
          </w:tcPr>
          <w:p w:rsidR="00EF4256" w:rsidRDefault="00EF4256">
            <w:pPr>
              <w:pStyle w:val="ListParagraph"/>
              <w:spacing w:after="0" w:line="240" w:lineRule="auto"/>
              <w:ind w:left="-122" w:right="-111"/>
              <w:jc w:val="center"/>
              <w:rPr>
                <w:rFonts w:ascii="Times New Roman" w:hAnsi="Times New Roman"/>
                <w:sz w:val="24"/>
                <w:szCs w:val="24"/>
              </w:rPr>
            </w:pPr>
            <w:r>
              <w:rPr>
                <w:rFonts w:ascii="Times New Roman" w:hAnsi="Times New Roman"/>
                <w:sz w:val="24"/>
                <w:szCs w:val="24"/>
              </w:rPr>
              <w:t>81.000</w:t>
            </w:r>
          </w:p>
        </w:tc>
      </w:tr>
      <w:tr w:rsidR="00EF4256">
        <w:trPr>
          <w:trHeight w:val="342"/>
          <w:jc w:val="center"/>
        </w:trPr>
        <w:tc>
          <w:tcPr>
            <w:tcW w:w="2981" w:type="dxa"/>
          </w:tcPr>
          <w:p w:rsidR="00EF4256" w:rsidRDefault="00EF425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Contrapartida Municipal</w:t>
            </w:r>
            <w:r>
              <w:rPr>
                <w:rFonts w:ascii="Times New Roman" w:hAnsi="Times New Roman"/>
                <w:b/>
                <w:sz w:val="20"/>
                <w:szCs w:val="20"/>
                <w:vertAlign w:val="superscript"/>
              </w:rPr>
              <w:t>*</w:t>
            </w:r>
          </w:p>
        </w:tc>
        <w:tc>
          <w:tcPr>
            <w:tcW w:w="1106" w:type="dxa"/>
          </w:tcPr>
          <w:p w:rsidR="00EF4256" w:rsidRDefault="00EF4256">
            <w:pPr>
              <w:pStyle w:val="ListParagraph"/>
              <w:spacing w:after="0" w:line="240" w:lineRule="auto"/>
              <w:ind w:left="-106"/>
              <w:jc w:val="center"/>
              <w:rPr>
                <w:rFonts w:ascii="Times New Roman" w:hAnsi="Times New Roman"/>
                <w:b/>
                <w:sz w:val="24"/>
                <w:szCs w:val="24"/>
              </w:rPr>
            </w:pPr>
            <w:r>
              <w:rPr>
                <w:rFonts w:ascii="Times New Roman" w:hAnsi="Times New Roman"/>
                <w:b/>
                <w:sz w:val="24"/>
                <w:szCs w:val="24"/>
              </w:rPr>
              <w:t>2.000</w:t>
            </w:r>
          </w:p>
        </w:tc>
        <w:tc>
          <w:tcPr>
            <w:tcW w:w="1106"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3.000</w:t>
            </w:r>
          </w:p>
        </w:tc>
        <w:tc>
          <w:tcPr>
            <w:tcW w:w="1106" w:type="dxa"/>
          </w:tcPr>
          <w:p w:rsidR="00EF4256" w:rsidRDefault="00EF4256">
            <w:pPr>
              <w:pStyle w:val="ListParagraph"/>
              <w:spacing w:after="0" w:line="240" w:lineRule="auto"/>
              <w:ind w:left="-108" w:right="-122"/>
              <w:jc w:val="center"/>
              <w:rPr>
                <w:rFonts w:ascii="Times New Roman" w:hAnsi="Times New Roman"/>
                <w:b/>
                <w:sz w:val="24"/>
                <w:szCs w:val="24"/>
              </w:rPr>
            </w:pPr>
            <w:r>
              <w:rPr>
                <w:rFonts w:ascii="Times New Roman" w:hAnsi="Times New Roman"/>
                <w:b/>
                <w:sz w:val="24"/>
                <w:szCs w:val="24"/>
              </w:rPr>
              <w:t>3.000</w:t>
            </w:r>
          </w:p>
        </w:tc>
        <w:tc>
          <w:tcPr>
            <w:tcW w:w="1106"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2.000</w:t>
            </w:r>
          </w:p>
        </w:tc>
        <w:tc>
          <w:tcPr>
            <w:tcW w:w="1107" w:type="dxa"/>
          </w:tcPr>
          <w:p w:rsidR="00EF4256" w:rsidRDefault="00EF4256">
            <w:pPr>
              <w:pStyle w:val="ListParagraph"/>
              <w:spacing w:after="0" w:line="240" w:lineRule="auto"/>
              <w:ind w:left="-122" w:right="-111"/>
              <w:jc w:val="center"/>
              <w:rPr>
                <w:rFonts w:ascii="Times New Roman" w:hAnsi="Times New Roman"/>
                <w:b/>
                <w:sz w:val="24"/>
                <w:szCs w:val="24"/>
              </w:rPr>
            </w:pPr>
            <w:r>
              <w:rPr>
                <w:rFonts w:ascii="Times New Roman" w:hAnsi="Times New Roman"/>
                <w:b/>
                <w:sz w:val="24"/>
                <w:szCs w:val="24"/>
              </w:rPr>
              <w:t>10.000</w:t>
            </w:r>
          </w:p>
        </w:tc>
      </w:tr>
      <w:tr w:rsidR="00EF4256">
        <w:trPr>
          <w:trHeight w:val="279"/>
          <w:jc w:val="center"/>
        </w:trPr>
        <w:tc>
          <w:tcPr>
            <w:tcW w:w="2981" w:type="dxa"/>
          </w:tcPr>
          <w:p w:rsidR="00EF4256" w:rsidRDefault="00EF4256">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Fortalecimento Institucional</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200</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300</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300</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200</w:t>
            </w:r>
          </w:p>
        </w:tc>
        <w:tc>
          <w:tcPr>
            <w:tcW w:w="1107"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w:t>
            </w:r>
          </w:p>
        </w:tc>
      </w:tr>
      <w:tr w:rsidR="00EF4256">
        <w:trPr>
          <w:trHeight w:val="279"/>
          <w:jc w:val="center"/>
        </w:trPr>
        <w:tc>
          <w:tcPr>
            <w:tcW w:w="2981" w:type="dxa"/>
          </w:tcPr>
          <w:p w:rsidR="00EF4256" w:rsidRDefault="00EF4256">
            <w:pPr>
              <w:pStyle w:val="ListParagraph"/>
              <w:spacing w:after="0" w:line="240" w:lineRule="auto"/>
              <w:ind w:left="322"/>
              <w:jc w:val="both"/>
              <w:rPr>
                <w:rFonts w:ascii="Times New Roman" w:hAnsi="Times New Roman"/>
                <w:sz w:val="24"/>
                <w:szCs w:val="24"/>
              </w:rPr>
            </w:pPr>
            <w:r>
              <w:rPr>
                <w:rFonts w:ascii="Times New Roman" w:hAnsi="Times New Roman"/>
                <w:sz w:val="24"/>
                <w:szCs w:val="24"/>
              </w:rPr>
              <w:t>Infraestrutura</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1.800</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2.700</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2.700</w:t>
            </w:r>
          </w:p>
        </w:tc>
        <w:tc>
          <w:tcPr>
            <w:tcW w:w="1106"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1.800</w:t>
            </w:r>
          </w:p>
        </w:tc>
        <w:tc>
          <w:tcPr>
            <w:tcW w:w="1107" w:type="dxa"/>
          </w:tcPr>
          <w:p w:rsidR="00EF4256" w:rsidRDefault="00EF425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9.000</w:t>
            </w:r>
          </w:p>
        </w:tc>
      </w:tr>
      <w:tr w:rsidR="00EF4256">
        <w:trPr>
          <w:trHeight w:val="313"/>
          <w:jc w:val="center"/>
        </w:trPr>
        <w:tc>
          <w:tcPr>
            <w:tcW w:w="2981" w:type="dxa"/>
          </w:tcPr>
          <w:p w:rsidR="00EF4256" w:rsidRDefault="00EF425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1106" w:type="dxa"/>
          </w:tcPr>
          <w:p w:rsidR="00EF4256" w:rsidRDefault="00EF425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20.000</w:t>
            </w:r>
          </w:p>
        </w:tc>
        <w:tc>
          <w:tcPr>
            <w:tcW w:w="1106" w:type="dxa"/>
          </w:tcPr>
          <w:p w:rsidR="00EF4256" w:rsidRDefault="00EF425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30.000</w:t>
            </w:r>
          </w:p>
        </w:tc>
        <w:tc>
          <w:tcPr>
            <w:tcW w:w="1106" w:type="dxa"/>
          </w:tcPr>
          <w:p w:rsidR="00EF4256" w:rsidRDefault="00EF425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30.000</w:t>
            </w:r>
          </w:p>
        </w:tc>
        <w:tc>
          <w:tcPr>
            <w:tcW w:w="1106" w:type="dxa"/>
          </w:tcPr>
          <w:p w:rsidR="00EF4256" w:rsidRDefault="00EF425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20.000</w:t>
            </w:r>
          </w:p>
        </w:tc>
        <w:tc>
          <w:tcPr>
            <w:tcW w:w="1107" w:type="dxa"/>
          </w:tcPr>
          <w:p w:rsidR="00EF4256" w:rsidRDefault="00EF425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100.000</w:t>
            </w:r>
          </w:p>
        </w:tc>
      </w:tr>
    </w:tbl>
    <w:p w:rsidR="00EF4256" w:rsidRDefault="00EF4256">
      <w:pPr>
        <w:pStyle w:val="ListParagraph"/>
        <w:spacing w:after="0" w:line="240" w:lineRule="auto"/>
        <w:ind w:left="0" w:right="-108"/>
        <w:rPr>
          <w:rFonts w:ascii="Times New Roman" w:hAnsi="Times New Roman"/>
          <w:sz w:val="18"/>
          <w:szCs w:val="18"/>
        </w:rPr>
      </w:pPr>
      <w:r>
        <w:rPr>
          <w:rFonts w:ascii="Times New Roman" w:hAnsi="Times New Roman"/>
          <w:sz w:val="18"/>
          <w:szCs w:val="18"/>
        </w:rPr>
        <w:t>* incluindo recursos de transferências voluntárias ou de empréstimo do Estado ou União.</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MECANISMO DE EXECUÇÃO</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dos municípios:</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Firmar Termos de Adesão e Convênio junto ao Programa;</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Comprovar a adesão à Campanha “Cidades Resilientes”;</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Comprovar a existência do COMDEC estruturada e com pessoal designado para exercer a função de forma exclusiva;</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Comprovar a existência de Plano de Contingência de Proteção e Defesa Civil devidamente atualizado/vigente avalizado por meio de Audiência Pública;</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Solicitar os recursos de financiamento;</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Apresentar as prioridades de acordo com os critérios do Programa;</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Solicitar autorização de contratação de operação de crédito junto à Secretaria do Tesouro Nacional;</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Firmar os contratos de empréstimo junto a BRDE;</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Apresentar os projetos dos componentes de fortalecimento institucional e de infraestrutura em conformidade às prioridades definidas anteriormente e em consonância ao Regulamento do Programa (Anexo I);</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Realizar os procedimentos licitatórios e de contratação das empresas proponentes vencedoras de acordo com a legislação vigente;</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Fiscalizar a execução dos serviços e obras contratadas assim como dar recebimento dos equipamentos adquiridos em conformidade ao estabelecido nas especificações técnicas;</w:t>
      </w:r>
    </w:p>
    <w:p w:rsidR="00EF4256" w:rsidRDefault="00EF425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Disponibilizar os recursos financeiros de contrapartida municipal conforme previsto;</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da CEPDEC/PR:</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color w:val="FF0000"/>
          <w:sz w:val="24"/>
          <w:szCs w:val="24"/>
        </w:rPr>
        <w:t xml:space="preserve">Apresentar critérios de priorização de atendimento aos municípios levando em conta o histórico (linha base) e a ocorrência de desastre em municípios sem registro </w:t>
      </w:r>
      <w:r>
        <w:rPr>
          <w:rFonts w:ascii="Times New Roman" w:hAnsi="Times New Roman"/>
          <w:sz w:val="24"/>
          <w:szCs w:val="24"/>
        </w:rPr>
        <w:t>(Anexo II);</w:t>
      </w: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Definir os municípios com atendimento prioritário;</w:t>
      </w: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Promover a adesão dos municípios ao Programa;</w:t>
      </w: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Definir junto com os municípios as prioridades;</w:t>
      </w: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Elaborar os termos de referência para os projetos do componente de Fortalecimento Institucional;</w:t>
      </w: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Supervisionar junto com o PARANACIDADE a elaboração dos projetos do componente de Fortalecimento Institucional contratados pelos municípios;</w:t>
      </w:r>
    </w:p>
    <w:p w:rsidR="00EF4256" w:rsidRDefault="00EF4256">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Realizar, amostralmente, durante o período de execução do Programa e após a emissão pelo PARANACIDADE do Termo de Recebimento Definitivo dos projetos municipais integrantes do componente de Infraestrutura, o acompanhamento em conformidade com o Questionário de Monitoramento e recomendar aos municípios a adoção de ações e medidas corretivas para a sua adequada administração, operação e manutenção, quando pertinente;</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da SEDU:</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Aprovar as prioridades apresentadas pelos municípios com a anuência prévia da CEPDEC;</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993" w:hanging="633"/>
        <w:jc w:val="both"/>
        <w:rPr>
          <w:rFonts w:ascii="Times New Roman" w:hAnsi="Times New Roman"/>
          <w:sz w:val="24"/>
          <w:szCs w:val="24"/>
        </w:rPr>
      </w:pPr>
      <w:r>
        <w:rPr>
          <w:rFonts w:ascii="Times New Roman" w:hAnsi="Times New Roman"/>
          <w:b/>
          <w:sz w:val="24"/>
          <w:szCs w:val="24"/>
        </w:rPr>
        <w:t>Responsabilidades do PARANACIDADE:</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Analisar as solicitações dos municípios de autorização de contratação de operação de crédito junto à Secretaria do Tesouro Nacional – STN;</w:t>
      </w: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Encaminhar ao BRDE as solicitações dos municípios de autorização de contratação de operação de crédito junto à Secretaria do Tesouro Nacional – STN;</w:t>
      </w: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Analisar e aprovar os projetos em conformidade ao Regulamento do Programa (Anexo I);</w:t>
      </w: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Analisar e aprovar os procedimentos licitatórios e de contratação das empresas proponentes vencedoras;</w:t>
      </w: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Supervisionar a execução dos serviços (junto com a CEPDEC) e das obras contratadas assim como o recebimento dos equipamentos adquiridos pelos municípios em conformidade às especificações pré-definidas;</w:t>
      </w: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Solicitar ao BRDE a liberação dos recursos de financiamento do Programa mediante a comprovação da realização dos serviços e obras contratadas assim como do recebimento dos equipamentos pelos municípios;</w:t>
      </w:r>
    </w:p>
    <w:p w:rsidR="00EF4256" w:rsidRDefault="00EF4256">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Emitir os Termos de Recebimento Definitivo dos projetos integrantes do componente de Infraestrutura do Programa;</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1"/>
          <w:numId w:val="1"/>
        </w:numPr>
        <w:spacing w:after="0" w:line="240" w:lineRule="auto"/>
        <w:ind w:left="993" w:hanging="633"/>
        <w:jc w:val="both"/>
        <w:rPr>
          <w:rFonts w:ascii="Times New Roman" w:hAnsi="Times New Roman"/>
          <w:b/>
          <w:sz w:val="24"/>
          <w:szCs w:val="24"/>
        </w:rPr>
      </w:pPr>
      <w:r>
        <w:rPr>
          <w:rFonts w:ascii="Times New Roman" w:hAnsi="Times New Roman"/>
          <w:b/>
          <w:sz w:val="24"/>
          <w:szCs w:val="24"/>
        </w:rPr>
        <w:t>Responsabilidades do BRDE:</w:t>
      </w: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Encaminhar as solicitações dos municípios de autorização de contratação de operação de crédito junto à STN;</w:t>
      </w:r>
    </w:p>
    <w:p w:rsidR="00EF4256" w:rsidRDefault="00EF4256">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Firmar os contratos de empréstimo com os municípios;</w:t>
      </w:r>
    </w:p>
    <w:p w:rsidR="00EF4256" w:rsidRDefault="00EF4256">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Liberar os recursos de financiamento do Programa conforme solicitado pelo PARANACIDADE, mediante a comprovação da realização dos serviços e obras contratadas e recebimento dos equipamentos pelos municípios.</w:t>
      </w:r>
    </w:p>
    <w:p w:rsidR="00EF4256" w:rsidRDefault="00EF4256">
      <w:pPr>
        <w:rPr>
          <w:rFonts w:ascii="Times New Roman" w:hAnsi="Times New Roman"/>
          <w:sz w:val="24"/>
          <w:szCs w:val="24"/>
        </w:rPr>
      </w:pPr>
      <w:r>
        <w:rPr>
          <w:rFonts w:ascii="Times New Roman" w:hAnsi="Times New Roman"/>
          <w:sz w:val="24"/>
          <w:szCs w:val="24"/>
        </w:rPr>
        <w:br w:type="page"/>
      </w: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MATRIZ DE RESULTADOS</w:t>
      </w:r>
    </w:p>
    <w:p w:rsidR="00EF4256" w:rsidRDefault="00EF425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6"/>
        <w:gridCol w:w="988"/>
        <w:gridCol w:w="887"/>
        <w:gridCol w:w="887"/>
        <w:gridCol w:w="887"/>
        <w:gridCol w:w="887"/>
        <w:gridCol w:w="888"/>
      </w:tblGrid>
      <w:tr w:rsidR="00EF4256">
        <w:tc>
          <w:tcPr>
            <w:tcW w:w="3296" w:type="dxa"/>
          </w:tcPr>
          <w:p w:rsidR="00EF4256" w:rsidRDefault="00EF4256">
            <w:pPr>
              <w:spacing w:after="0" w:line="240" w:lineRule="auto"/>
              <w:rPr>
                <w:rFonts w:ascii="Times New Roman" w:hAnsi="Times New Roman"/>
                <w:b/>
                <w:sz w:val="24"/>
                <w:szCs w:val="24"/>
              </w:rPr>
            </w:pPr>
            <w:r>
              <w:rPr>
                <w:rFonts w:ascii="Times New Roman" w:hAnsi="Times New Roman"/>
                <w:b/>
                <w:sz w:val="24"/>
                <w:szCs w:val="24"/>
              </w:rPr>
              <w:t>Indicador de Produto</w:t>
            </w:r>
          </w:p>
        </w:tc>
        <w:tc>
          <w:tcPr>
            <w:tcW w:w="988" w:type="dxa"/>
            <w:vMerge w:val="restart"/>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Un. de medida</w:t>
            </w:r>
          </w:p>
        </w:tc>
        <w:tc>
          <w:tcPr>
            <w:tcW w:w="887" w:type="dxa"/>
            <w:vMerge w:val="restart"/>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1</w:t>
            </w:r>
          </w:p>
        </w:tc>
        <w:tc>
          <w:tcPr>
            <w:tcW w:w="887" w:type="dxa"/>
            <w:vMerge w:val="restart"/>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2</w:t>
            </w:r>
          </w:p>
        </w:tc>
        <w:tc>
          <w:tcPr>
            <w:tcW w:w="887" w:type="dxa"/>
            <w:vMerge w:val="restart"/>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3</w:t>
            </w:r>
          </w:p>
        </w:tc>
        <w:tc>
          <w:tcPr>
            <w:tcW w:w="887" w:type="dxa"/>
            <w:vMerge w:val="restart"/>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4</w:t>
            </w:r>
          </w:p>
        </w:tc>
        <w:tc>
          <w:tcPr>
            <w:tcW w:w="888" w:type="dxa"/>
            <w:vMerge w:val="restart"/>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Total</w:t>
            </w:r>
          </w:p>
        </w:tc>
      </w:tr>
      <w:tr w:rsidR="00EF4256">
        <w:tc>
          <w:tcPr>
            <w:tcW w:w="3296" w:type="dxa"/>
          </w:tcPr>
          <w:p w:rsidR="00EF4256" w:rsidRDefault="00EF4256">
            <w:pPr>
              <w:spacing w:after="0" w:line="240" w:lineRule="auto"/>
              <w:ind w:left="70"/>
              <w:rPr>
                <w:rFonts w:ascii="Times New Roman" w:hAnsi="Times New Roman"/>
                <w:b/>
                <w:sz w:val="24"/>
                <w:szCs w:val="24"/>
              </w:rPr>
            </w:pPr>
            <w:r>
              <w:rPr>
                <w:rFonts w:ascii="Times New Roman" w:hAnsi="Times New Roman"/>
                <w:b/>
                <w:sz w:val="24"/>
                <w:szCs w:val="24"/>
              </w:rPr>
              <w:t>Fortalecimento Institucional</w:t>
            </w:r>
          </w:p>
        </w:tc>
        <w:tc>
          <w:tcPr>
            <w:tcW w:w="988" w:type="dxa"/>
            <w:vMerge/>
          </w:tcPr>
          <w:p w:rsidR="00EF4256" w:rsidRDefault="00EF4256">
            <w:pPr>
              <w:spacing w:after="0" w:line="240" w:lineRule="auto"/>
              <w:jc w:val="center"/>
              <w:rPr>
                <w:rFonts w:ascii="Times New Roman" w:hAnsi="Times New Roman"/>
                <w:b/>
                <w:sz w:val="24"/>
                <w:szCs w:val="24"/>
              </w:rPr>
            </w:pPr>
          </w:p>
        </w:tc>
        <w:tc>
          <w:tcPr>
            <w:tcW w:w="887" w:type="dxa"/>
            <w:vMerge/>
          </w:tcPr>
          <w:p w:rsidR="00EF4256" w:rsidRDefault="00EF4256">
            <w:pPr>
              <w:spacing w:after="0" w:line="240" w:lineRule="auto"/>
              <w:jc w:val="center"/>
              <w:rPr>
                <w:rFonts w:ascii="Times New Roman" w:hAnsi="Times New Roman"/>
                <w:b/>
                <w:sz w:val="24"/>
                <w:szCs w:val="24"/>
              </w:rPr>
            </w:pPr>
          </w:p>
        </w:tc>
        <w:tc>
          <w:tcPr>
            <w:tcW w:w="887" w:type="dxa"/>
            <w:vMerge/>
          </w:tcPr>
          <w:p w:rsidR="00EF4256" w:rsidRDefault="00EF4256">
            <w:pPr>
              <w:spacing w:after="0" w:line="240" w:lineRule="auto"/>
              <w:jc w:val="center"/>
              <w:rPr>
                <w:rFonts w:ascii="Times New Roman" w:hAnsi="Times New Roman"/>
                <w:b/>
                <w:sz w:val="24"/>
                <w:szCs w:val="24"/>
              </w:rPr>
            </w:pPr>
          </w:p>
        </w:tc>
        <w:tc>
          <w:tcPr>
            <w:tcW w:w="887" w:type="dxa"/>
            <w:vMerge/>
          </w:tcPr>
          <w:p w:rsidR="00EF4256" w:rsidRDefault="00EF4256">
            <w:pPr>
              <w:spacing w:after="0" w:line="240" w:lineRule="auto"/>
              <w:jc w:val="center"/>
              <w:rPr>
                <w:rFonts w:ascii="Times New Roman" w:hAnsi="Times New Roman"/>
                <w:b/>
                <w:sz w:val="24"/>
                <w:szCs w:val="24"/>
              </w:rPr>
            </w:pPr>
          </w:p>
        </w:tc>
        <w:tc>
          <w:tcPr>
            <w:tcW w:w="887" w:type="dxa"/>
            <w:vMerge/>
          </w:tcPr>
          <w:p w:rsidR="00EF4256" w:rsidRDefault="00EF4256">
            <w:pPr>
              <w:spacing w:after="0" w:line="240" w:lineRule="auto"/>
              <w:jc w:val="center"/>
              <w:rPr>
                <w:rFonts w:ascii="Times New Roman" w:hAnsi="Times New Roman"/>
                <w:b/>
                <w:sz w:val="24"/>
                <w:szCs w:val="24"/>
              </w:rPr>
            </w:pPr>
          </w:p>
        </w:tc>
        <w:tc>
          <w:tcPr>
            <w:tcW w:w="888" w:type="dxa"/>
            <w:vMerge/>
          </w:tcPr>
          <w:p w:rsidR="00EF4256" w:rsidRDefault="00EF4256">
            <w:pPr>
              <w:spacing w:after="0" w:line="240" w:lineRule="auto"/>
              <w:jc w:val="center"/>
              <w:rPr>
                <w:rFonts w:ascii="Times New Roman" w:hAnsi="Times New Roman"/>
                <w:b/>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Carta geotécnica de aptidão à urbanização</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km</w:t>
            </w:r>
            <w:r>
              <w:rPr>
                <w:rFonts w:ascii="Times New Roman" w:hAnsi="Times New Roman"/>
                <w:sz w:val="24"/>
                <w:szCs w:val="24"/>
                <w:vertAlign w:val="superscript"/>
              </w:rPr>
              <w:t>2</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Cadastro e mapeamento de áreas de risco a desastres naturais</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Sistema de fiscalização de áreas inaptas à ocupação</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Sistema municipal de informações, fiscalização e monitoramento, alerta e alarme das áreas de risco e de atenção </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color w:val="000028"/>
                <w:sz w:val="24"/>
                <w:szCs w:val="24"/>
              </w:rPr>
              <w:t>Plano municipal de proteção e defesa civil</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Plano municipal de implantação de obras e serviços para redução de risco de desastres naturais</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iCs/>
                <w:color w:val="000028"/>
                <w:sz w:val="24"/>
                <w:szCs w:val="24"/>
              </w:rPr>
              <w:t>Plano de relocação de famílias de áreas vulneráveis a desastres</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70"/>
              <w:rPr>
                <w:rFonts w:ascii="Times New Roman" w:hAnsi="Times New Roman"/>
                <w:b/>
                <w:iCs/>
                <w:color w:val="000028"/>
                <w:sz w:val="24"/>
                <w:szCs w:val="24"/>
              </w:rPr>
            </w:pPr>
            <w:r>
              <w:rPr>
                <w:rFonts w:ascii="Times New Roman" w:hAnsi="Times New Roman"/>
                <w:b/>
                <w:iCs/>
                <w:color w:val="000028"/>
                <w:sz w:val="24"/>
                <w:szCs w:val="24"/>
              </w:rPr>
              <w:t>Infraestrutura</w:t>
            </w:r>
          </w:p>
        </w:tc>
        <w:tc>
          <w:tcPr>
            <w:tcW w:w="988"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Contenção de alagamento e inundação</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bCs/>
                <w:color w:val="000028"/>
                <w:sz w:val="24"/>
                <w:szCs w:val="24"/>
              </w:rPr>
              <w:t>Contenção de</w:t>
            </w:r>
            <w:r>
              <w:rPr>
                <w:rFonts w:ascii="Times New Roman" w:hAnsi="Times New Roman"/>
                <w:b/>
                <w:bCs/>
                <w:color w:val="000028"/>
                <w:sz w:val="24"/>
                <w:szCs w:val="24"/>
              </w:rPr>
              <w:t xml:space="preserve"> </w:t>
            </w:r>
            <w:r>
              <w:rPr>
                <w:rFonts w:ascii="Times New Roman" w:hAnsi="Times New Roman"/>
                <w:bCs/>
                <w:color w:val="000028"/>
                <w:sz w:val="24"/>
                <w:szCs w:val="24"/>
              </w:rPr>
              <w:t>deslizamento</w:t>
            </w:r>
            <w:r>
              <w:rPr>
                <w:rFonts w:ascii="Times New Roman" w:hAnsi="Times New Roman"/>
                <w:color w:val="000028"/>
                <w:sz w:val="24"/>
                <w:szCs w:val="24"/>
              </w:rPr>
              <w:t xml:space="preserve"> e erosão</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Sistema de monitoramento, alerta e alarme em área vulnerável</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Adequação de edificação pública para abrigo</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color w:val="000028"/>
                <w:sz w:val="24"/>
                <w:szCs w:val="24"/>
              </w:rPr>
            </w:pPr>
            <w:r>
              <w:rPr>
                <w:rFonts w:ascii="Times New Roman" w:hAnsi="Times New Roman"/>
                <w:color w:val="000028"/>
                <w:sz w:val="24"/>
                <w:szCs w:val="24"/>
              </w:rPr>
              <w:t>Reconstrução de infraestrutura pública</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7" w:type="dxa"/>
          </w:tcPr>
          <w:p w:rsidR="00EF4256" w:rsidRDefault="00EF4256">
            <w:pPr>
              <w:spacing w:after="0" w:line="240" w:lineRule="auto"/>
              <w:jc w:val="center"/>
              <w:rPr>
                <w:rFonts w:ascii="Times New Roman" w:hAnsi="Times New Roman"/>
                <w:sz w:val="24"/>
                <w:szCs w:val="24"/>
              </w:rPr>
            </w:pPr>
          </w:p>
        </w:tc>
        <w:tc>
          <w:tcPr>
            <w:tcW w:w="888" w:type="dxa"/>
          </w:tcPr>
          <w:p w:rsidR="00EF4256" w:rsidRDefault="00EF4256">
            <w:pPr>
              <w:spacing w:after="0" w:line="240" w:lineRule="auto"/>
              <w:jc w:val="center"/>
              <w:rPr>
                <w:rFonts w:ascii="Times New Roman" w:hAnsi="Times New Roman"/>
                <w:sz w:val="24"/>
                <w:szCs w:val="24"/>
              </w:rPr>
            </w:pPr>
          </w:p>
        </w:tc>
      </w:tr>
    </w:tbl>
    <w:p w:rsidR="00EF4256" w:rsidRDefault="00EF4256">
      <w:pPr>
        <w:spacing w:after="0" w:line="240" w:lineRule="auto"/>
        <w:jc w:val="both"/>
        <w:rPr>
          <w:rFonts w:ascii="Times New Roman" w:hAnsi="Times New Roman"/>
          <w:sz w:val="24"/>
          <w:szCs w:val="24"/>
        </w:rPr>
      </w:pPr>
    </w:p>
    <w:p w:rsidR="00EF4256" w:rsidRDefault="00EF4256">
      <w:pPr>
        <w:rPr>
          <w:rFonts w:ascii="Times New Roman" w:hAnsi="Times New Roman"/>
          <w:sz w:val="24"/>
          <w:szCs w:val="24"/>
        </w:rPr>
      </w:pPr>
      <w:r>
        <w:rPr>
          <w:rFonts w:ascii="Times New Roman" w:hAnsi="Times New Roman"/>
          <w:sz w:val="24"/>
          <w:szCs w:val="24"/>
        </w:rPr>
        <w:br w:type="page"/>
      </w:r>
    </w:p>
    <w:p w:rsidR="00EF4256" w:rsidRDefault="00EF425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987"/>
        <w:gridCol w:w="830"/>
        <w:gridCol w:w="743"/>
        <w:gridCol w:w="743"/>
        <w:gridCol w:w="743"/>
        <w:gridCol w:w="743"/>
        <w:gridCol w:w="763"/>
      </w:tblGrid>
      <w:tr w:rsidR="00EF4256">
        <w:tc>
          <w:tcPr>
            <w:tcW w:w="3296" w:type="dxa"/>
          </w:tcPr>
          <w:p w:rsidR="00EF4256" w:rsidRDefault="00EF4256">
            <w:pPr>
              <w:widowControl w:val="0"/>
              <w:autoSpaceDE w:val="0"/>
              <w:autoSpaceDN w:val="0"/>
              <w:adjustRightInd w:val="0"/>
              <w:spacing w:after="0" w:line="240" w:lineRule="auto"/>
              <w:rPr>
                <w:rFonts w:ascii="Times New Roman" w:hAnsi="Times New Roman"/>
                <w:b/>
                <w:iCs/>
                <w:color w:val="000028"/>
                <w:sz w:val="24"/>
                <w:szCs w:val="24"/>
              </w:rPr>
            </w:pPr>
            <w:r>
              <w:rPr>
                <w:rFonts w:ascii="Times New Roman" w:hAnsi="Times New Roman"/>
                <w:b/>
                <w:sz w:val="24"/>
                <w:szCs w:val="24"/>
              </w:rPr>
              <w:t>Indicador de Resultado</w:t>
            </w:r>
          </w:p>
        </w:tc>
        <w:tc>
          <w:tcPr>
            <w:tcW w:w="988" w:type="dxa"/>
          </w:tcPr>
          <w:p w:rsidR="00EF4256" w:rsidRDefault="00EF4256">
            <w:pPr>
              <w:spacing w:after="0" w:line="240" w:lineRule="auto"/>
              <w:ind w:left="-57"/>
              <w:jc w:val="center"/>
              <w:rPr>
                <w:rFonts w:ascii="Times New Roman" w:hAnsi="Times New Roman"/>
                <w:sz w:val="24"/>
                <w:szCs w:val="24"/>
              </w:rPr>
            </w:pPr>
            <w:r>
              <w:rPr>
                <w:rFonts w:ascii="Times New Roman" w:hAnsi="Times New Roman"/>
                <w:b/>
                <w:sz w:val="24"/>
                <w:szCs w:val="24"/>
              </w:rPr>
              <w:t>Un. de medida</w:t>
            </w:r>
          </w:p>
        </w:tc>
        <w:tc>
          <w:tcPr>
            <w:tcW w:w="670" w:type="dxa"/>
          </w:tcPr>
          <w:p w:rsidR="00EF4256" w:rsidRDefault="00EF4256">
            <w:pPr>
              <w:spacing w:after="0" w:line="240" w:lineRule="auto"/>
              <w:jc w:val="center"/>
              <w:rPr>
                <w:rFonts w:ascii="Times New Roman" w:hAnsi="Times New Roman"/>
                <w:b/>
                <w:sz w:val="24"/>
                <w:szCs w:val="24"/>
              </w:rPr>
            </w:pPr>
            <w:r>
              <w:rPr>
                <w:rFonts w:ascii="Times New Roman" w:hAnsi="Times New Roman"/>
                <w:b/>
                <w:sz w:val="24"/>
                <w:szCs w:val="24"/>
              </w:rPr>
              <w:t>Linha base</w:t>
            </w:r>
          </w:p>
        </w:tc>
        <w:tc>
          <w:tcPr>
            <w:tcW w:w="750" w:type="dxa"/>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1</w:t>
            </w:r>
          </w:p>
        </w:tc>
        <w:tc>
          <w:tcPr>
            <w:tcW w:w="751" w:type="dxa"/>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2</w:t>
            </w:r>
          </w:p>
        </w:tc>
        <w:tc>
          <w:tcPr>
            <w:tcW w:w="751" w:type="dxa"/>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3</w:t>
            </w:r>
          </w:p>
        </w:tc>
        <w:tc>
          <w:tcPr>
            <w:tcW w:w="751" w:type="dxa"/>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Ano 4</w:t>
            </w:r>
          </w:p>
        </w:tc>
        <w:tc>
          <w:tcPr>
            <w:tcW w:w="763" w:type="dxa"/>
          </w:tcPr>
          <w:p w:rsidR="00EF4256" w:rsidRDefault="00EF4256">
            <w:pPr>
              <w:spacing w:after="0" w:line="240" w:lineRule="auto"/>
              <w:jc w:val="center"/>
              <w:rPr>
                <w:rFonts w:ascii="Times New Roman" w:hAnsi="Times New Roman"/>
                <w:sz w:val="24"/>
                <w:szCs w:val="24"/>
              </w:rPr>
            </w:pPr>
            <w:r>
              <w:rPr>
                <w:rFonts w:ascii="Times New Roman" w:hAnsi="Times New Roman"/>
                <w:b/>
                <w:sz w:val="24"/>
                <w:szCs w:val="24"/>
              </w:rPr>
              <w:t>Total</w:t>
            </w: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danos humanos</w:t>
            </w:r>
            <w:r>
              <w:rPr>
                <w:rFonts w:ascii="Times New Roman" w:hAnsi="Times New Roman"/>
                <w:sz w:val="24"/>
                <w:szCs w:val="24"/>
                <w:vertAlign w:val="superscript"/>
              </w:rPr>
              <w:t>1</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nº</w:t>
            </w:r>
          </w:p>
        </w:tc>
        <w:tc>
          <w:tcPr>
            <w:tcW w:w="670" w:type="dxa"/>
          </w:tcPr>
          <w:p w:rsidR="00EF4256" w:rsidRDefault="00EF4256">
            <w:pPr>
              <w:spacing w:after="0" w:line="240" w:lineRule="auto"/>
              <w:jc w:val="both"/>
              <w:rPr>
                <w:rFonts w:ascii="Times New Roman" w:hAnsi="Times New Roman"/>
                <w:sz w:val="24"/>
                <w:szCs w:val="24"/>
              </w:rPr>
            </w:pPr>
          </w:p>
        </w:tc>
        <w:tc>
          <w:tcPr>
            <w:tcW w:w="750"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63" w:type="dxa"/>
          </w:tcPr>
          <w:p w:rsidR="00EF4256" w:rsidRDefault="00EF4256">
            <w:pPr>
              <w:spacing w:after="0" w:line="240" w:lineRule="auto"/>
              <w:jc w:val="both"/>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danos materiais</w:t>
            </w:r>
            <w:r>
              <w:rPr>
                <w:rFonts w:ascii="Times New Roman" w:hAnsi="Times New Roman"/>
                <w:sz w:val="24"/>
                <w:szCs w:val="24"/>
                <w:vertAlign w:val="superscript"/>
              </w:rPr>
              <w:t>2</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R$</w:t>
            </w:r>
          </w:p>
        </w:tc>
        <w:tc>
          <w:tcPr>
            <w:tcW w:w="670" w:type="dxa"/>
          </w:tcPr>
          <w:p w:rsidR="00EF4256" w:rsidRDefault="00EF4256">
            <w:pPr>
              <w:spacing w:after="0" w:line="240" w:lineRule="auto"/>
              <w:jc w:val="both"/>
              <w:rPr>
                <w:rFonts w:ascii="Times New Roman" w:hAnsi="Times New Roman"/>
                <w:sz w:val="24"/>
                <w:szCs w:val="24"/>
              </w:rPr>
            </w:pPr>
          </w:p>
        </w:tc>
        <w:tc>
          <w:tcPr>
            <w:tcW w:w="750"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63" w:type="dxa"/>
          </w:tcPr>
          <w:p w:rsidR="00EF4256" w:rsidRDefault="00EF4256">
            <w:pPr>
              <w:spacing w:after="0" w:line="240" w:lineRule="auto"/>
              <w:jc w:val="both"/>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danos ambientais</w:t>
            </w:r>
            <w:r>
              <w:rPr>
                <w:rFonts w:ascii="Times New Roman" w:hAnsi="Times New Roman"/>
                <w:sz w:val="24"/>
                <w:szCs w:val="24"/>
                <w:vertAlign w:val="superscript"/>
              </w:rPr>
              <w:t>3</w:t>
            </w:r>
          </w:p>
        </w:tc>
        <w:tc>
          <w:tcPr>
            <w:tcW w:w="988" w:type="dxa"/>
          </w:tcPr>
          <w:p w:rsidR="00EF4256" w:rsidRDefault="00EF4256">
            <w:pPr>
              <w:spacing w:after="0" w:line="240" w:lineRule="auto"/>
              <w:jc w:val="center"/>
              <w:rPr>
                <w:rFonts w:ascii="Times New Roman" w:hAnsi="Times New Roman"/>
                <w:sz w:val="24"/>
                <w:szCs w:val="24"/>
              </w:rPr>
            </w:pPr>
          </w:p>
        </w:tc>
        <w:tc>
          <w:tcPr>
            <w:tcW w:w="670" w:type="dxa"/>
          </w:tcPr>
          <w:p w:rsidR="00EF4256" w:rsidRDefault="00EF4256">
            <w:pPr>
              <w:spacing w:after="0" w:line="240" w:lineRule="auto"/>
              <w:jc w:val="both"/>
              <w:rPr>
                <w:rFonts w:ascii="Times New Roman" w:hAnsi="Times New Roman"/>
                <w:sz w:val="24"/>
                <w:szCs w:val="24"/>
              </w:rPr>
            </w:pPr>
          </w:p>
        </w:tc>
        <w:tc>
          <w:tcPr>
            <w:tcW w:w="750"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63" w:type="dxa"/>
          </w:tcPr>
          <w:p w:rsidR="00EF4256" w:rsidRDefault="00EF4256">
            <w:pPr>
              <w:spacing w:after="0" w:line="240" w:lineRule="auto"/>
              <w:jc w:val="both"/>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prejuízos sociais</w:t>
            </w:r>
            <w:r>
              <w:rPr>
                <w:rFonts w:ascii="Times New Roman" w:hAnsi="Times New Roman"/>
                <w:sz w:val="24"/>
                <w:szCs w:val="24"/>
                <w:vertAlign w:val="superscript"/>
              </w:rPr>
              <w:t>4</w:t>
            </w:r>
          </w:p>
        </w:tc>
        <w:tc>
          <w:tcPr>
            <w:tcW w:w="988" w:type="dxa"/>
          </w:tcPr>
          <w:p w:rsidR="00EF4256" w:rsidRDefault="00EF4256">
            <w:pPr>
              <w:spacing w:after="0" w:line="240" w:lineRule="auto"/>
              <w:jc w:val="center"/>
              <w:rPr>
                <w:rFonts w:ascii="Times New Roman" w:hAnsi="Times New Roman"/>
                <w:sz w:val="24"/>
                <w:szCs w:val="24"/>
              </w:rPr>
            </w:pPr>
          </w:p>
        </w:tc>
        <w:tc>
          <w:tcPr>
            <w:tcW w:w="670" w:type="dxa"/>
          </w:tcPr>
          <w:p w:rsidR="00EF4256" w:rsidRDefault="00EF4256">
            <w:pPr>
              <w:spacing w:after="0" w:line="240" w:lineRule="auto"/>
              <w:jc w:val="both"/>
              <w:rPr>
                <w:rFonts w:ascii="Times New Roman" w:hAnsi="Times New Roman"/>
                <w:sz w:val="24"/>
                <w:szCs w:val="24"/>
              </w:rPr>
            </w:pPr>
          </w:p>
        </w:tc>
        <w:tc>
          <w:tcPr>
            <w:tcW w:w="750"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63" w:type="dxa"/>
          </w:tcPr>
          <w:p w:rsidR="00EF4256" w:rsidRDefault="00EF4256">
            <w:pPr>
              <w:spacing w:after="0" w:line="240" w:lineRule="auto"/>
              <w:jc w:val="both"/>
              <w:rPr>
                <w:rFonts w:ascii="Times New Roman" w:hAnsi="Times New Roman"/>
                <w:sz w:val="24"/>
                <w:szCs w:val="24"/>
              </w:rPr>
            </w:pPr>
          </w:p>
        </w:tc>
      </w:tr>
      <w:tr w:rsidR="00EF4256">
        <w:tc>
          <w:tcPr>
            <w:tcW w:w="3296" w:type="dxa"/>
          </w:tcPr>
          <w:p w:rsidR="00EF4256" w:rsidRDefault="00EF4256">
            <w:pPr>
              <w:widowControl w:val="0"/>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Redução de prejuízos econômicos</w:t>
            </w:r>
            <w:r>
              <w:rPr>
                <w:rFonts w:ascii="Times New Roman" w:hAnsi="Times New Roman"/>
                <w:sz w:val="24"/>
                <w:szCs w:val="24"/>
                <w:vertAlign w:val="superscript"/>
              </w:rPr>
              <w:t>5</w:t>
            </w:r>
          </w:p>
        </w:tc>
        <w:tc>
          <w:tcPr>
            <w:tcW w:w="988" w:type="dxa"/>
          </w:tcPr>
          <w:p w:rsidR="00EF4256" w:rsidRDefault="00EF4256">
            <w:pPr>
              <w:spacing w:after="0" w:line="240" w:lineRule="auto"/>
              <w:jc w:val="center"/>
              <w:rPr>
                <w:rFonts w:ascii="Times New Roman" w:hAnsi="Times New Roman"/>
                <w:sz w:val="24"/>
                <w:szCs w:val="24"/>
              </w:rPr>
            </w:pPr>
            <w:r>
              <w:rPr>
                <w:rFonts w:ascii="Times New Roman" w:hAnsi="Times New Roman"/>
                <w:sz w:val="24"/>
                <w:szCs w:val="24"/>
              </w:rPr>
              <w:t>R$</w:t>
            </w:r>
          </w:p>
        </w:tc>
        <w:tc>
          <w:tcPr>
            <w:tcW w:w="670" w:type="dxa"/>
          </w:tcPr>
          <w:p w:rsidR="00EF4256" w:rsidRDefault="00EF4256">
            <w:pPr>
              <w:spacing w:after="0" w:line="240" w:lineRule="auto"/>
              <w:jc w:val="both"/>
              <w:rPr>
                <w:rFonts w:ascii="Times New Roman" w:hAnsi="Times New Roman"/>
                <w:sz w:val="24"/>
                <w:szCs w:val="24"/>
              </w:rPr>
            </w:pPr>
          </w:p>
        </w:tc>
        <w:tc>
          <w:tcPr>
            <w:tcW w:w="750"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51" w:type="dxa"/>
          </w:tcPr>
          <w:p w:rsidR="00EF4256" w:rsidRDefault="00EF4256">
            <w:pPr>
              <w:spacing w:after="0" w:line="240" w:lineRule="auto"/>
              <w:jc w:val="both"/>
              <w:rPr>
                <w:rFonts w:ascii="Times New Roman" w:hAnsi="Times New Roman"/>
                <w:sz w:val="24"/>
                <w:szCs w:val="24"/>
              </w:rPr>
            </w:pPr>
          </w:p>
        </w:tc>
        <w:tc>
          <w:tcPr>
            <w:tcW w:w="763" w:type="dxa"/>
          </w:tcPr>
          <w:p w:rsidR="00EF4256" w:rsidRDefault="00EF4256">
            <w:pPr>
              <w:spacing w:after="0" w:line="240" w:lineRule="auto"/>
              <w:jc w:val="both"/>
              <w:rPr>
                <w:rFonts w:ascii="Times New Roman" w:hAnsi="Times New Roman"/>
                <w:sz w:val="24"/>
                <w:szCs w:val="24"/>
              </w:rPr>
            </w:pPr>
          </w:p>
        </w:tc>
      </w:tr>
    </w:tbl>
    <w:p w:rsidR="00EF4256" w:rsidRDefault="00EF4256">
      <w:pPr>
        <w:spacing w:before="120" w:after="0" w:line="240" w:lineRule="auto"/>
        <w:jc w:val="both"/>
        <w:rPr>
          <w:rFonts w:ascii="Times New Roman" w:hAnsi="Times New Roman"/>
          <w:sz w:val="18"/>
          <w:szCs w:val="18"/>
        </w:rPr>
      </w:pPr>
      <w:r>
        <w:rPr>
          <w:rFonts w:ascii="Times New Roman" w:hAnsi="Times New Roman"/>
          <w:sz w:val="24"/>
          <w:szCs w:val="24"/>
          <w:vertAlign w:val="superscript"/>
        </w:rPr>
        <w:t xml:space="preserve">1 </w:t>
      </w:r>
      <w:r>
        <w:rPr>
          <w:rFonts w:ascii="Times New Roman" w:hAnsi="Times New Roman"/>
          <w:sz w:val="18"/>
          <w:szCs w:val="18"/>
        </w:rPr>
        <w:t>Óbitos, desaparecidos, feridos, enfermos, desabrigados, desalojados, deslocados, afetados.</w:t>
      </w:r>
    </w:p>
    <w:p w:rsidR="00EF4256" w:rsidRDefault="00EF4256">
      <w:pPr>
        <w:spacing w:after="0" w:line="240" w:lineRule="auto"/>
        <w:jc w:val="both"/>
        <w:rPr>
          <w:rFonts w:ascii="Times New Roman" w:hAnsi="Times New Roman"/>
          <w:sz w:val="18"/>
          <w:szCs w:val="18"/>
        </w:rPr>
      </w:pPr>
      <w:r>
        <w:rPr>
          <w:rFonts w:ascii="Times New Roman" w:hAnsi="Times New Roman"/>
          <w:sz w:val="24"/>
          <w:szCs w:val="24"/>
          <w:vertAlign w:val="superscript"/>
        </w:rPr>
        <w:t>2</w:t>
      </w:r>
      <w:r>
        <w:rPr>
          <w:rFonts w:ascii="Times New Roman" w:hAnsi="Times New Roman"/>
          <w:sz w:val="18"/>
          <w:szCs w:val="18"/>
        </w:rPr>
        <w:t xml:space="preserve"> Bens danificados ou destruídos: Prioridade I – instalações públicas de saúde, unidades habitacionais de população de baixa renda, instalações públicas de ensino, obras de infraestrutura pública, outras instalações públicas prestadoras de serviços, instalações comunitárias.</w:t>
      </w:r>
    </w:p>
    <w:p w:rsidR="00EF4256" w:rsidRDefault="00EF4256">
      <w:pPr>
        <w:spacing w:after="0" w:line="240" w:lineRule="auto"/>
        <w:jc w:val="both"/>
        <w:rPr>
          <w:rFonts w:ascii="Times New Roman" w:hAnsi="Times New Roman"/>
          <w:sz w:val="18"/>
          <w:szCs w:val="18"/>
        </w:rPr>
      </w:pPr>
      <w:r>
        <w:rPr>
          <w:rFonts w:ascii="Times New Roman" w:hAnsi="Times New Roman"/>
          <w:sz w:val="18"/>
          <w:szCs w:val="18"/>
        </w:rPr>
        <w:t>3</w:t>
      </w:r>
    </w:p>
    <w:p w:rsidR="00EF4256" w:rsidRDefault="00EF4256">
      <w:pPr>
        <w:autoSpaceDE w:val="0"/>
        <w:autoSpaceDN w:val="0"/>
        <w:adjustRightInd w:val="0"/>
        <w:spacing w:after="0" w:line="240" w:lineRule="auto"/>
        <w:jc w:val="both"/>
        <w:rPr>
          <w:rFonts w:ascii="Times New Roman" w:hAnsi="Times New Roman"/>
          <w:sz w:val="18"/>
          <w:szCs w:val="18"/>
        </w:rPr>
      </w:pPr>
      <w:r>
        <w:rPr>
          <w:rFonts w:ascii="Times New Roman" w:hAnsi="Times New Roman"/>
          <w:sz w:val="24"/>
          <w:szCs w:val="24"/>
          <w:vertAlign w:val="superscript"/>
        </w:rPr>
        <w:t xml:space="preserve">4 </w:t>
      </w:r>
      <w:r>
        <w:rPr>
          <w:rFonts w:ascii="Times New Roman" w:hAnsi="Times New Roman"/>
          <w:sz w:val="18"/>
          <w:szCs w:val="18"/>
        </w:rPr>
        <w:t>Prioridade I - mau funcionamento de: assistência médica primária e assistência médico-hospitalar; atendimento às emergências médico-cirúrgicas, inclusive atendimento pré-hospitalar - APH; abastecimento de água potável; esgoto sanitário; limpeza urbana, recolhimento e destinação do lixo; controle de hospedeiros, pragas e vetores; vigilância sanitária; Prioridade II - mau funcionamento de: geração e distribuição de energia; transporte público; comunicações; distribuição de combustíveis, especialmente de uso doméstico.</w:t>
      </w:r>
    </w:p>
    <w:p w:rsidR="00EF4256" w:rsidRDefault="00EF4256">
      <w:pPr>
        <w:spacing w:after="0" w:line="240" w:lineRule="auto"/>
        <w:jc w:val="both"/>
        <w:rPr>
          <w:rFonts w:ascii="Times New Roman" w:hAnsi="Times New Roman"/>
          <w:sz w:val="20"/>
          <w:szCs w:val="20"/>
        </w:rPr>
      </w:pPr>
      <w:r>
        <w:rPr>
          <w:rFonts w:ascii="Times New Roman" w:hAnsi="Times New Roman"/>
          <w:sz w:val="24"/>
          <w:szCs w:val="24"/>
          <w:vertAlign w:val="superscript"/>
        </w:rPr>
        <w:t xml:space="preserve">5 </w:t>
      </w:r>
      <w:r>
        <w:rPr>
          <w:rFonts w:ascii="Times New Roman" w:hAnsi="Times New Roman"/>
          <w:sz w:val="18"/>
          <w:szCs w:val="18"/>
        </w:rPr>
        <w:t>Pouco vultosos e pouco significativos, quando menores do que 5% do PIB; pouco vultosos, mas significativos, quando entre 5 e 10% do PIB; vultosos, quando entre 10 e 30% do PIB; e muito vultosos, quando superiores a  30% do PIB.</w:t>
      </w:r>
    </w:p>
    <w:p w:rsidR="00EF4256" w:rsidRDefault="00EF4256">
      <w:pPr>
        <w:pStyle w:val="ListParagraph"/>
        <w:tabs>
          <w:tab w:val="left" w:pos="426"/>
        </w:tabs>
        <w:spacing w:after="0" w:line="240" w:lineRule="auto"/>
        <w:ind w:left="0"/>
        <w:jc w:val="both"/>
        <w:rPr>
          <w:rFonts w:ascii="Times New Roman" w:hAnsi="Times New Roman"/>
          <w:b/>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PLANO DE MONITORAMENTO E AVALIAÇÃO</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ind w:firstLine="284"/>
        <w:jc w:val="both"/>
        <w:rPr>
          <w:rFonts w:ascii="Times New Roman" w:hAnsi="Times New Roman"/>
          <w:sz w:val="24"/>
          <w:szCs w:val="24"/>
        </w:rPr>
      </w:pPr>
      <w:r>
        <w:rPr>
          <w:rFonts w:ascii="Times New Roman" w:hAnsi="Times New Roman"/>
          <w:sz w:val="24"/>
          <w:szCs w:val="24"/>
        </w:rPr>
        <w:t>A CEPDEC/PR, durante o período de execução do Programa, após a emissão pelo PARANACIDADE do Termo de Recebimento Definitivo dos projetos integrantes do Componente de Infraestrutura, realizará, amostralmente, o acompanhamento dos projetos municipais em conformidade com Questionário de Monitoramento e recomendará aos municípios a adoção das ações e medidas corretivas para a sua adequada, operação, administração e manutenção (OAM), quando pertinente.</w:t>
      </w:r>
    </w:p>
    <w:p w:rsidR="00EF4256" w:rsidRDefault="00EF4256">
      <w:pPr>
        <w:spacing w:after="0" w:line="240" w:lineRule="auto"/>
        <w:jc w:val="both"/>
        <w:rPr>
          <w:rFonts w:ascii="Times New Roman" w:hAnsi="Times New Roman"/>
          <w:sz w:val="24"/>
          <w:szCs w:val="24"/>
        </w:rPr>
      </w:pPr>
    </w:p>
    <w:p w:rsidR="00EF4256" w:rsidRDefault="00EF4256">
      <w:pPr>
        <w:spacing w:after="0" w:line="240" w:lineRule="auto"/>
        <w:jc w:val="both"/>
        <w:rPr>
          <w:rFonts w:ascii="Times New Roman" w:hAnsi="Times New Roman"/>
          <w:sz w:val="24"/>
          <w:szCs w:val="24"/>
        </w:rPr>
      </w:pPr>
    </w:p>
    <w:p w:rsidR="00EF4256" w:rsidRDefault="00EF4256">
      <w:pPr>
        <w:pStyle w:val="ListParagraph"/>
        <w:numPr>
          <w:ilvl w:val="0"/>
          <w:numId w:val="1"/>
        </w:numPr>
        <w:tabs>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REGULAMENTO OPERATIVO</w:t>
      </w:r>
    </w:p>
    <w:p w:rsidR="00EF4256" w:rsidRDefault="00EF4256">
      <w:pPr>
        <w:spacing w:after="0" w:line="240" w:lineRule="auto"/>
        <w:jc w:val="both"/>
        <w:rPr>
          <w:rFonts w:ascii="Times New Roman" w:hAnsi="Times New Roman"/>
          <w:color w:val="FF0000"/>
          <w:sz w:val="24"/>
          <w:szCs w:val="24"/>
        </w:rPr>
      </w:pPr>
    </w:p>
    <w:p w:rsidR="00EF4256" w:rsidRDefault="00EF4256">
      <w:pPr>
        <w:spacing w:after="0" w:line="240" w:lineRule="auto"/>
        <w:jc w:val="both"/>
        <w:rPr>
          <w:rFonts w:ascii="Times New Roman" w:hAnsi="Times New Roman"/>
          <w:color w:val="FF0000"/>
          <w:sz w:val="24"/>
          <w:szCs w:val="24"/>
        </w:rPr>
      </w:pPr>
      <w:r>
        <w:rPr>
          <w:rFonts w:ascii="Times New Roman" w:hAnsi="Times New Roman"/>
          <w:color w:val="FF0000"/>
          <w:sz w:val="24"/>
          <w:szCs w:val="24"/>
        </w:rPr>
        <w:t>Modelo de outro projeto</w:t>
      </w:r>
      <w:bookmarkStart w:id="0" w:name="_GoBack"/>
      <w:bookmarkEnd w:id="0"/>
    </w:p>
    <w:sectPr w:rsidR="00EF4256" w:rsidSect="00DB3D0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56" w:rsidRDefault="00EF4256">
      <w:pPr>
        <w:spacing w:after="0" w:line="240" w:lineRule="auto"/>
      </w:pPr>
      <w:r>
        <w:separator/>
      </w:r>
    </w:p>
  </w:endnote>
  <w:endnote w:type="continuationSeparator" w:id="0">
    <w:p w:rsidR="00EF4256" w:rsidRDefault="00EF4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56" w:rsidRDefault="00EF4256">
      <w:pPr>
        <w:spacing w:after="0" w:line="240" w:lineRule="auto"/>
      </w:pPr>
      <w:r>
        <w:separator/>
      </w:r>
    </w:p>
  </w:footnote>
  <w:footnote w:type="continuationSeparator" w:id="0">
    <w:p w:rsidR="00EF4256" w:rsidRDefault="00EF4256">
      <w:pPr>
        <w:spacing w:after="0" w:line="240" w:lineRule="auto"/>
      </w:pPr>
      <w:r>
        <w:continuationSeparator/>
      </w:r>
    </w:p>
  </w:footnote>
  <w:footnote w:id="1">
    <w:p w:rsidR="00EF4256" w:rsidRDefault="00EF4256">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Este Programa não contempla os desastres naturais de origem climatológica (estiagem, seca, baixa umidade do ar e incêndios florestais) e biológica (epidemias e infestações/pragas).</w:t>
      </w:r>
    </w:p>
  </w:footnote>
  <w:footnote w:id="2">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Intensificação dos ventos nas regiões litorâneas, movimentando dunas de areia sobre construções na orla.</w:t>
      </w:r>
    </w:p>
  </w:footnote>
  <w:footnote w:id="3">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Ondas violentas que geram uma maior agitação do mar próximo à praia que ocorrem quando rajadas fortes de vento fazem subir o nível do oceano em mar aberto e essa intensificação das correntes marítimas carrega uma enorme quantidade de água em direção ao litoral. Em consequência, as praias inundam, as ondas se tornam maiores e a orla pode ser devastada alagando ruas e destruindo edificações.</w:t>
      </w:r>
    </w:p>
  </w:footnote>
  <w:footnote w:id="4">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Massa de ar frio que avança sobre uma região provocando queda brusca da temperatura local, com período de duração inferior à friagem/região que está ligada a tempestade causada por uma zona de baixa pressão atmosférica, provocando forte deslocamento de uma massa de ar, vendavais, chuvas intensas e até queda de granizo.</w:t>
      </w:r>
    </w:p>
  </w:footnote>
  <w:footnote w:id="5">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Coluna de ar que gira de forma violenta e muito perigosa, estando em contato com a terra e a base de uma nuvem de grande desenvolvimento vertical. Essa coluna de ar pode percorrer vários quilômetros e deixa um rastro de destruição por este caminho percorrido.</w:t>
      </w:r>
    </w:p>
  </w:footnote>
  <w:footnote w:id="6">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Tempestade com intensa atividade elétrica no interior das nuvens, com grande desenvolvimento vertical.</w:t>
      </w:r>
    </w:p>
  </w:footnote>
  <w:footnote w:id="7">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Precipitação de pedaços irregulares de gelo.</w:t>
      </w:r>
    </w:p>
  </w:footnote>
  <w:footnote w:id="8">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Ocorrem com acumulados significativos causando múltiplos desastres (ex. inundações, movimentos de massa, enxurradas etc.).</w:t>
      </w:r>
    </w:p>
  </w:footnote>
  <w:footnote w:id="9">
    <w:p w:rsidR="00EF4256" w:rsidRDefault="00EF4256">
      <w:pPr>
        <w:pStyle w:val="FootnoteText"/>
        <w:jc w:val="both"/>
      </w:pPr>
      <w:r>
        <w:rPr>
          <w:rFonts w:ascii="Times New Roman" w:hAnsi="Times New Roman"/>
          <w:sz w:val="16"/>
          <w:szCs w:val="16"/>
        </w:rPr>
        <w:footnoteRef/>
      </w:r>
      <w:r>
        <w:rPr>
          <w:rFonts w:ascii="Times New Roman" w:hAnsi="Times New Roman"/>
          <w:sz w:val="16"/>
          <w:szCs w:val="16"/>
        </w:rPr>
        <w:t xml:space="preserve"> Forte deslocamento de massa de ar em uma região.</w:t>
      </w:r>
    </w:p>
  </w:footnote>
  <w:footnote w:id="10">
    <w:p w:rsidR="00EF4256" w:rsidRDefault="00EF4256">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Submersão de áreas fora dos limites normais de um curso de água em zonas que normalmente não se encontram submersas. O transbordamento ocorre de modo gradual, geralmente ocasionado por chuvas prolongadas em áreas de planície.</w:t>
      </w:r>
    </w:p>
  </w:footnote>
  <w:footnote w:id="11">
    <w:p w:rsidR="00EF4256" w:rsidRDefault="00EF4256">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Escoamento superficial de alta velocidade e energia, provocado por chuvas intensas e concentradas, normalmente em pequenas bacias de relevo acidentado. Caracterizada pela elevação súbita das vazões de determinada drenagem e transbordamento brusco da calha fluvial. Apresenta grande poder destrutivo.</w:t>
      </w:r>
    </w:p>
  </w:footnote>
  <w:footnote w:id="12">
    <w:p w:rsidR="00EF4256" w:rsidRDefault="00EF4256">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Extrapolação da capacidade de escoamento de sistemas de drenagem urbana e consequente acúmulo de água em ruas, calçadas ou outras infraestruturas urbanas, em decorrência de precipitações intensas.</w:t>
      </w:r>
    </w:p>
  </w:footnote>
  <w:footnote w:id="13">
    <w:p w:rsidR="00EF4256" w:rsidRDefault="00EF4256">
      <w:pPr>
        <w:pStyle w:val="FootnoteText"/>
        <w:jc w:val="both"/>
      </w:pPr>
      <w:r>
        <w:rPr>
          <w:rStyle w:val="FootnoteReference"/>
          <w:rFonts w:ascii="Times New Roman" w:hAnsi="Times New Roman"/>
          <w:sz w:val="16"/>
          <w:szCs w:val="16"/>
        </w:rPr>
        <w:footnoteRef/>
      </w:r>
      <w:r>
        <w:rPr>
          <w:rFonts w:ascii="Times New Roman" w:hAnsi="Times New Roman"/>
          <w:sz w:val="16"/>
          <w:szCs w:val="16"/>
        </w:rPr>
        <w:t xml:space="preserve"> Ocorrem quando, por índices pluviométricos excepcionais, o solo/lama, misturado com a água, tem comportamento de líquido viscoso, de extenso raio de ação e alto poder destrutivo.</w:t>
      </w:r>
    </w:p>
  </w:footnote>
  <w:footnote w:id="14">
    <w:p w:rsidR="00EF4256" w:rsidRDefault="00EF4256">
      <w:pPr>
        <w:pStyle w:val="NormalWeb"/>
        <w:shd w:val="clear" w:color="auto" w:fill="FFFFFF"/>
        <w:spacing w:before="0" w:beforeAutospacing="0" w:after="0" w:afterAutospacing="0"/>
        <w:jc w:val="both"/>
      </w:pPr>
      <w:r>
        <w:rPr>
          <w:rStyle w:val="FootnoteReference"/>
          <w:sz w:val="16"/>
          <w:szCs w:val="16"/>
        </w:rPr>
        <w:footnoteRef/>
      </w:r>
      <w:r>
        <w:rPr>
          <w:sz w:val="16"/>
          <w:szCs w:val="16"/>
        </w:rPr>
        <w:t xml:space="preserve"> </w:t>
      </w:r>
      <w:r>
        <w:rPr>
          <w:sz w:val="16"/>
          <w:szCs w:val="16"/>
          <w:lang w:eastAsia="en-US"/>
        </w:rPr>
        <w:t>Laminar, quando ocorre remoção de uma camada delgada e uniforme do solo superficial provocada por fluxo hídrico não concentrado; ravinas quando ocorre a evolução, em tamanho e profundidade, da desagregação e remoção das partículas do solo de sulcos provocada por escoamento hídrico superficial concentrado; e boçorocas quando se observa a evolução do processo de ravimento, em tamanho e profundidade, em que a desagregação e remoção das partículas do solo são provocadas por escoamento hídrico superficial e subsuperficial (escoamento freático) concentrado.</w:t>
      </w:r>
    </w:p>
  </w:footnote>
  <w:footnote w:id="15">
    <w:p w:rsidR="00EF4256" w:rsidRDefault="00EF4256">
      <w:pPr>
        <w:pStyle w:val="FootnoteText"/>
        <w:jc w:val="both"/>
      </w:pPr>
      <w:r>
        <w:rPr>
          <w:rStyle w:val="FootnoteReference"/>
        </w:rPr>
        <w:footnoteRef/>
      </w:r>
      <w:r>
        <w:t xml:space="preserve"> </w:t>
      </w:r>
      <w:r>
        <w:rPr>
          <w:rFonts w:ascii="Times New Roman" w:hAnsi="Times New Roman"/>
          <w:sz w:val="16"/>
          <w:szCs w:val="16"/>
        </w:rPr>
        <w:t>Os projetos do componente fortalecimento institucional deverão atender o estabelecido nos Termos de Referência aprovados no âmbito do Programa. Os projetos do componente de infraestrutura  deverão atender critérios de ordem institucional, legal, técnica (urbanística, arquitetônica, e de engenharia), ambiental, econômica e financeira.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BE4"/>
    <w:multiLevelType w:val="multilevel"/>
    <w:tmpl w:val="3E5A57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023323C"/>
    <w:multiLevelType w:val="hybridMultilevel"/>
    <w:tmpl w:val="CB36905E"/>
    <w:lvl w:ilvl="0" w:tplc="04160019">
      <w:start w:val="1"/>
      <w:numFmt w:val="lowerLetter"/>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2">
    <w:nsid w:val="18E65A8F"/>
    <w:multiLevelType w:val="hybridMultilevel"/>
    <w:tmpl w:val="8AC8A432"/>
    <w:lvl w:ilvl="0" w:tplc="FF32C158">
      <w:start w:val="1"/>
      <w:numFmt w:val="decimal"/>
      <w:lvlText w:val="%1."/>
      <w:lvlJc w:val="left"/>
      <w:pPr>
        <w:ind w:left="1058" w:hanging="360"/>
      </w:pPr>
      <w:rPr>
        <w:rFonts w:cs="Times New Roman" w:hint="default"/>
        <w:b/>
      </w:rPr>
    </w:lvl>
    <w:lvl w:ilvl="1" w:tplc="04160019">
      <w:start w:val="1"/>
      <w:numFmt w:val="lowerLetter"/>
      <w:lvlText w:val="%2."/>
      <w:lvlJc w:val="left"/>
      <w:pPr>
        <w:ind w:left="1778" w:hanging="360"/>
      </w:pPr>
      <w:rPr>
        <w:rFonts w:cs="Times New Roman"/>
      </w:rPr>
    </w:lvl>
    <w:lvl w:ilvl="2" w:tplc="0416001B" w:tentative="1">
      <w:start w:val="1"/>
      <w:numFmt w:val="lowerRoman"/>
      <w:lvlText w:val="%3."/>
      <w:lvlJc w:val="right"/>
      <w:pPr>
        <w:ind w:left="2498" w:hanging="180"/>
      </w:pPr>
      <w:rPr>
        <w:rFonts w:cs="Times New Roman"/>
      </w:rPr>
    </w:lvl>
    <w:lvl w:ilvl="3" w:tplc="0416000F" w:tentative="1">
      <w:start w:val="1"/>
      <w:numFmt w:val="decimal"/>
      <w:lvlText w:val="%4."/>
      <w:lvlJc w:val="left"/>
      <w:pPr>
        <w:ind w:left="3218" w:hanging="360"/>
      </w:pPr>
      <w:rPr>
        <w:rFonts w:cs="Times New Roman"/>
      </w:rPr>
    </w:lvl>
    <w:lvl w:ilvl="4" w:tplc="04160019" w:tentative="1">
      <w:start w:val="1"/>
      <w:numFmt w:val="lowerLetter"/>
      <w:lvlText w:val="%5."/>
      <w:lvlJc w:val="left"/>
      <w:pPr>
        <w:ind w:left="3938" w:hanging="360"/>
      </w:pPr>
      <w:rPr>
        <w:rFonts w:cs="Times New Roman"/>
      </w:rPr>
    </w:lvl>
    <w:lvl w:ilvl="5" w:tplc="0416001B" w:tentative="1">
      <w:start w:val="1"/>
      <w:numFmt w:val="lowerRoman"/>
      <w:lvlText w:val="%6."/>
      <w:lvlJc w:val="right"/>
      <w:pPr>
        <w:ind w:left="4658" w:hanging="180"/>
      </w:pPr>
      <w:rPr>
        <w:rFonts w:cs="Times New Roman"/>
      </w:rPr>
    </w:lvl>
    <w:lvl w:ilvl="6" w:tplc="0416000F" w:tentative="1">
      <w:start w:val="1"/>
      <w:numFmt w:val="decimal"/>
      <w:lvlText w:val="%7."/>
      <w:lvlJc w:val="left"/>
      <w:pPr>
        <w:ind w:left="5378" w:hanging="360"/>
      </w:pPr>
      <w:rPr>
        <w:rFonts w:cs="Times New Roman"/>
      </w:rPr>
    </w:lvl>
    <w:lvl w:ilvl="7" w:tplc="04160019" w:tentative="1">
      <w:start w:val="1"/>
      <w:numFmt w:val="lowerLetter"/>
      <w:lvlText w:val="%8."/>
      <w:lvlJc w:val="left"/>
      <w:pPr>
        <w:ind w:left="6098" w:hanging="360"/>
      </w:pPr>
      <w:rPr>
        <w:rFonts w:cs="Times New Roman"/>
      </w:rPr>
    </w:lvl>
    <w:lvl w:ilvl="8" w:tplc="0416001B" w:tentative="1">
      <w:start w:val="1"/>
      <w:numFmt w:val="lowerRoman"/>
      <w:lvlText w:val="%9."/>
      <w:lvlJc w:val="right"/>
      <w:pPr>
        <w:ind w:left="6818" w:hanging="180"/>
      </w:pPr>
      <w:rPr>
        <w:rFonts w:cs="Times New Roman"/>
      </w:rPr>
    </w:lvl>
  </w:abstractNum>
  <w:abstractNum w:abstractNumId="3">
    <w:nsid w:val="23E11F7C"/>
    <w:multiLevelType w:val="hybridMultilevel"/>
    <w:tmpl w:val="90627842"/>
    <w:lvl w:ilvl="0" w:tplc="19C61952">
      <w:start w:val="1"/>
      <w:numFmt w:val="decimal"/>
      <w:lvlText w:val="%1."/>
      <w:lvlJc w:val="left"/>
      <w:pPr>
        <w:ind w:left="1058"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3D4EA7"/>
    <w:multiLevelType w:val="hybridMultilevel"/>
    <w:tmpl w:val="4866FB30"/>
    <w:lvl w:ilvl="0" w:tplc="84C858B4">
      <w:start w:val="1"/>
      <w:numFmt w:val="decimal"/>
      <w:lvlText w:val="%1."/>
      <w:lvlJc w:val="left"/>
      <w:pPr>
        <w:ind w:left="720" w:hanging="360"/>
      </w:pPr>
      <w:rPr>
        <w:rFonts w:cs="Times New Roman" w:hint="default"/>
        <w:b w:val="0"/>
        <w:i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FA31573"/>
    <w:multiLevelType w:val="hybridMultilevel"/>
    <w:tmpl w:val="41560336"/>
    <w:lvl w:ilvl="0" w:tplc="FFFFFFFF">
      <w:start w:val="1"/>
      <w:numFmt w:val="bullet"/>
      <w:lvlText w:val=""/>
      <w:lvlJc w:val="left"/>
      <w:pPr>
        <w:ind w:left="928" w:hanging="360"/>
      </w:pPr>
      <w:rPr>
        <w:rFonts w:ascii="Symbol" w:hAnsi="Symbol" w:hint="default"/>
        <w:sz w:val="16"/>
      </w:rPr>
    </w:lvl>
    <w:lvl w:ilvl="1" w:tplc="04160003" w:tentative="1">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nsid w:val="66D6781D"/>
    <w:multiLevelType w:val="hybridMultilevel"/>
    <w:tmpl w:val="8AC8A432"/>
    <w:lvl w:ilvl="0" w:tplc="FF32C158">
      <w:start w:val="1"/>
      <w:numFmt w:val="decimal"/>
      <w:lvlText w:val="%1."/>
      <w:lvlJc w:val="left"/>
      <w:pPr>
        <w:ind w:left="1058" w:hanging="360"/>
      </w:pPr>
      <w:rPr>
        <w:rFonts w:cs="Times New Roman" w:hint="default"/>
        <w:b/>
      </w:rPr>
    </w:lvl>
    <w:lvl w:ilvl="1" w:tplc="04160019">
      <w:start w:val="1"/>
      <w:numFmt w:val="lowerLetter"/>
      <w:lvlText w:val="%2."/>
      <w:lvlJc w:val="left"/>
      <w:pPr>
        <w:ind w:left="1778" w:hanging="360"/>
      </w:pPr>
      <w:rPr>
        <w:rFonts w:cs="Times New Roman"/>
      </w:rPr>
    </w:lvl>
    <w:lvl w:ilvl="2" w:tplc="0416001B">
      <w:start w:val="1"/>
      <w:numFmt w:val="lowerRoman"/>
      <w:lvlText w:val="%3."/>
      <w:lvlJc w:val="right"/>
      <w:pPr>
        <w:ind w:left="2498" w:hanging="180"/>
      </w:pPr>
      <w:rPr>
        <w:rFonts w:cs="Times New Roman"/>
      </w:rPr>
    </w:lvl>
    <w:lvl w:ilvl="3" w:tplc="0416000F" w:tentative="1">
      <w:start w:val="1"/>
      <w:numFmt w:val="decimal"/>
      <w:lvlText w:val="%4."/>
      <w:lvlJc w:val="left"/>
      <w:pPr>
        <w:ind w:left="3218" w:hanging="360"/>
      </w:pPr>
      <w:rPr>
        <w:rFonts w:cs="Times New Roman"/>
      </w:rPr>
    </w:lvl>
    <w:lvl w:ilvl="4" w:tplc="04160019" w:tentative="1">
      <w:start w:val="1"/>
      <w:numFmt w:val="lowerLetter"/>
      <w:lvlText w:val="%5."/>
      <w:lvlJc w:val="left"/>
      <w:pPr>
        <w:ind w:left="3938" w:hanging="360"/>
      </w:pPr>
      <w:rPr>
        <w:rFonts w:cs="Times New Roman"/>
      </w:rPr>
    </w:lvl>
    <w:lvl w:ilvl="5" w:tplc="0416001B" w:tentative="1">
      <w:start w:val="1"/>
      <w:numFmt w:val="lowerRoman"/>
      <w:lvlText w:val="%6."/>
      <w:lvlJc w:val="right"/>
      <w:pPr>
        <w:ind w:left="4658" w:hanging="180"/>
      </w:pPr>
      <w:rPr>
        <w:rFonts w:cs="Times New Roman"/>
      </w:rPr>
    </w:lvl>
    <w:lvl w:ilvl="6" w:tplc="0416000F" w:tentative="1">
      <w:start w:val="1"/>
      <w:numFmt w:val="decimal"/>
      <w:lvlText w:val="%7."/>
      <w:lvlJc w:val="left"/>
      <w:pPr>
        <w:ind w:left="5378" w:hanging="360"/>
      </w:pPr>
      <w:rPr>
        <w:rFonts w:cs="Times New Roman"/>
      </w:rPr>
    </w:lvl>
    <w:lvl w:ilvl="7" w:tplc="04160019" w:tentative="1">
      <w:start w:val="1"/>
      <w:numFmt w:val="lowerLetter"/>
      <w:lvlText w:val="%8."/>
      <w:lvlJc w:val="left"/>
      <w:pPr>
        <w:ind w:left="6098" w:hanging="360"/>
      </w:pPr>
      <w:rPr>
        <w:rFonts w:cs="Times New Roman"/>
      </w:rPr>
    </w:lvl>
    <w:lvl w:ilvl="8" w:tplc="0416001B" w:tentative="1">
      <w:start w:val="1"/>
      <w:numFmt w:val="lowerRoman"/>
      <w:lvlText w:val="%9."/>
      <w:lvlJc w:val="right"/>
      <w:pPr>
        <w:ind w:left="6818" w:hanging="180"/>
      </w:pPr>
      <w:rPr>
        <w:rFonts w:cs="Times New Roman"/>
      </w:rPr>
    </w:lvl>
  </w:abstractNum>
  <w:abstractNum w:abstractNumId="7">
    <w:nsid w:val="70AB3314"/>
    <w:multiLevelType w:val="hybridMultilevel"/>
    <w:tmpl w:val="90627842"/>
    <w:lvl w:ilvl="0" w:tplc="19C61952">
      <w:start w:val="1"/>
      <w:numFmt w:val="decimal"/>
      <w:lvlText w:val="%1."/>
      <w:lvlJc w:val="left"/>
      <w:pPr>
        <w:ind w:left="1058"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78E40EEB"/>
    <w:multiLevelType w:val="hybridMultilevel"/>
    <w:tmpl w:val="8AC8A432"/>
    <w:lvl w:ilvl="0" w:tplc="FF32C158">
      <w:start w:val="1"/>
      <w:numFmt w:val="decimal"/>
      <w:lvlText w:val="%1."/>
      <w:lvlJc w:val="left"/>
      <w:pPr>
        <w:ind w:left="1058" w:hanging="360"/>
      </w:pPr>
      <w:rPr>
        <w:rFonts w:cs="Times New Roman" w:hint="default"/>
        <w:b/>
      </w:rPr>
    </w:lvl>
    <w:lvl w:ilvl="1" w:tplc="04160019">
      <w:start w:val="1"/>
      <w:numFmt w:val="lowerLetter"/>
      <w:lvlText w:val="%2."/>
      <w:lvlJc w:val="left"/>
      <w:pPr>
        <w:ind w:left="1778" w:hanging="360"/>
      </w:pPr>
      <w:rPr>
        <w:rFonts w:cs="Times New Roman"/>
      </w:rPr>
    </w:lvl>
    <w:lvl w:ilvl="2" w:tplc="0416001B" w:tentative="1">
      <w:start w:val="1"/>
      <w:numFmt w:val="lowerRoman"/>
      <w:lvlText w:val="%3."/>
      <w:lvlJc w:val="right"/>
      <w:pPr>
        <w:ind w:left="2498" w:hanging="180"/>
      </w:pPr>
      <w:rPr>
        <w:rFonts w:cs="Times New Roman"/>
      </w:rPr>
    </w:lvl>
    <w:lvl w:ilvl="3" w:tplc="0416000F" w:tentative="1">
      <w:start w:val="1"/>
      <w:numFmt w:val="decimal"/>
      <w:lvlText w:val="%4."/>
      <w:lvlJc w:val="left"/>
      <w:pPr>
        <w:ind w:left="3218" w:hanging="360"/>
      </w:pPr>
      <w:rPr>
        <w:rFonts w:cs="Times New Roman"/>
      </w:rPr>
    </w:lvl>
    <w:lvl w:ilvl="4" w:tplc="04160019" w:tentative="1">
      <w:start w:val="1"/>
      <w:numFmt w:val="lowerLetter"/>
      <w:lvlText w:val="%5."/>
      <w:lvlJc w:val="left"/>
      <w:pPr>
        <w:ind w:left="3938" w:hanging="360"/>
      </w:pPr>
      <w:rPr>
        <w:rFonts w:cs="Times New Roman"/>
      </w:rPr>
    </w:lvl>
    <w:lvl w:ilvl="5" w:tplc="0416001B" w:tentative="1">
      <w:start w:val="1"/>
      <w:numFmt w:val="lowerRoman"/>
      <w:lvlText w:val="%6."/>
      <w:lvlJc w:val="right"/>
      <w:pPr>
        <w:ind w:left="4658" w:hanging="180"/>
      </w:pPr>
      <w:rPr>
        <w:rFonts w:cs="Times New Roman"/>
      </w:rPr>
    </w:lvl>
    <w:lvl w:ilvl="6" w:tplc="0416000F" w:tentative="1">
      <w:start w:val="1"/>
      <w:numFmt w:val="decimal"/>
      <w:lvlText w:val="%7."/>
      <w:lvlJc w:val="left"/>
      <w:pPr>
        <w:ind w:left="5378" w:hanging="360"/>
      </w:pPr>
      <w:rPr>
        <w:rFonts w:cs="Times New Roman"/>
      </w:rPr>
    </w:lvl>
    <w:lvl w:ilvl="7" w:tplc="04160019" w:tentative="1">
      <w:start w:val="1"/>
      <w:numFmt w:val="lowerLetter"/>
      <w:lvlText w:val="%8."/>
      <w:lvlJc w:val="left"/>
      <w:pPr>
        <w:ind w:left="6098" w:hanging="360"/>
      </w:pPr>
      <w:rPr>
        <w:rFonts w:cs="Times New Roman"/>
      </w:rPr>
    </w:lvl>
    <w:lvl w:ilvl="8" w:tplc="0416001B" w:tentative="1">
      <w:start w:val="1"/>
      <w:numFmt w:val="lowerRoman"/>
      <w:lvlText w:val="%9."/>
      <w:lvlJc w:val="right"/>
      <w:pPr>
        <w:ind w:left="6818" w:hanging="180"/>
      </w:pPr>
      <w:rPr>
        <w:rFonts w:cs="Times New Roman"/>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256"/>
    <w:rsid w:val="00DB3D0A"/>
    <w:rsid w:val="00EF425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pt-BR"/>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lock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3681</Words>
  <Characters>19881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“REDUÇÃO DE RISCOS DE DESASTRES NATURAIS </dc:title>
  <dc:subject/>
  <dc:creator>jeronimo</dc:creator>
  <cp:keywords/>
  <dc:description/>
  <cp:lastModifiedBy>eduardogomes</cp:lastModifiedBy>
  <cp:revision>2</cp:revision>
  <dcterms:created xsi:type="dcterms:W3CDTF">2015-07-09T13:28:00Z</dcterms:created>
  <dcterms:modified xsi:type="dcterms:W3CDTF">2015-07-09T13:28:00Z</dcterms:modified>
</cp:coreProperties>
</file>